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360" w:lineRule="auto"/>
        <w:rPr>
          <w:rStyle w:val="27"/>
          <w:rFonts w:ascii="黑体" w:eastAsia="黑体"/>
          <w:b/>
          <w:i w:val="0"/>
          <w:sz w:val="28"/>
          <w:szCs w:val="28"/>
        </w:rPr>
      </w:pPr>
      <w:r>
        <w:rPr>
          <w:rStyle w:val="27"/>
          <w:rFonts w:hint="eastAsia" w:ascii="黑体" w:eastAsia="黑体"/>
          <w:b/>
          <w:i w:val="0"/>
          <w:sz w:val="28"/>
          <w:szCs w:val="28"/>
        </w:rPr>
        <w:t>201</w:t>
      </w:r>
      <w:r>
        <w:rPr>
          <w:rStyle w:val="27"/>
          <w:rFonts w:hint="eastAsia" w:ascii="黑体" w:eastAsia="黑体"/>
          <w:b/>
          <w:i w:val="0"/>
          <w:sz w:val="28"/>
          <w:szCs w:val="28"/>
          <w:lang w:val="en-US" w:eastAsia="zh-CN"/>
        </w:rPr>
        <w:t>9</w:t>
      </w:r>
      <w:r>
        <w:rPr>
          <w:rStyle w:val="27"/>
          <w:rFonts w:hint="eastAsia" w:ascii="黑体" w:eastAsia="黑体"/>
          <w:b/>
          <w:i w:val="0"/>
          <w:sz w:val="28"/>
          <w:szCs w:val="28"/>
        </w:rPr>
        <w:t>年中国中小企业发展大会</w:t>
      </w:r>
    </w:p>
    <w:p>
      <w:pPr>
        <w:pStyle w:val="13"/>
        <w:spacing w:line="360" w:lineRule="auto"/>
        <w:rPr>
          <w:rStyle w:val="27"/>
          <w:rFonts w:ascii="黑体" w:eastAsia="黑体"/>
          <w:b/>
          <w:i w:val="0"/>
          <w:sz w:val="28"/>
          <w:szCs w:val="28"/>
        </w:rPr>
      </w:pPr>
      <w:r>
        <w:rPr>
          <w:rStyle w:val="27"/>
          <w:rFonts w:hint="eastAsia" w:ascii="黑体" w:eastAsia="黑体"/>
          <w:b/>
          <w:i w:val="0"/>
          <w:sz w:val="28"/>
          <w:szCs w:val="28"/>
        </w:rPr>
        <w:t>第十</w:t>
      </w:r>
      <w:r>
        <w:rPr>
          <w:rStyle w:val="27"/>
          <w:rFonts w:hint="eastAsia" w:ascii="黑体" w:eastAsia="黑体"/>
          <w:b/>
          <w:i w:val="0"/>
          <w:sz w:val="28"/>
          <w:szCs w:val="28"/>
          <w:lang w:val="en-US" w:eastAsia="zh-CN"/>
        </w:rPr>
        <w:t>三</w:t>
      </w:r>
      <w:r>
        <w:rPr>
          <w:rStyle w:val="27"/>
          <w:rFonts w:hint="eastAsia" w:ascii="黑体" w:eastAsia="黑体"/>
          <w:b/>
          <w:i w:val="0"/>
          <w:sz w:val="28"/>
          <w:szCs w:val="28"/>
        </w:rPr>
        <w:t xml:space="preserve">届中国中小企业节                            </w:t>
      </w:r>
      <w:r>
        <w:rPr>
          <w:rStyle w:val="27"/>
          <w:rFonts w:hint="eastAsia" w:ascii="黑体" w:eastAsia="黑体"/>
          <w:b/>
          <w:i w:val="0"/>
          <w:sz w:val="28"/>
          <w:szCs w:val="28"/>
          <w:lang w:val="en-US" w:eastAsia="zh-CN"/>
        </w:rPr>
        <w:t xml:space="preserve"> </w:t>
      </w:r>
      <w:r>
        <w:rPr>
          <w:rStyle w:val="27"/>
          <w:rFonts w:hint="eastAsia" w:ascii="黑体" w:eastAsia="黑体"/>
          <w:b/>
          <w:i w:val="0"/>
          <w:sz w:val="28"/>
          <w:szCs w:val="28"/>
        </w:rPr>
        <w:t>内部资料</w:t>
      </w:r>
    </w:p>
    <w:p>
      <w:pPr>
        <w:pStyle w:val="13"/>
        <w:spacing w:line="360" w:lineRule="auto"/>
        <w:rPr>
          <w:rStyle w:val="27"/>
          <w:rFonts w:ascii="黑体" w:eastAsia="黑体"/>
          <w:b/>
          <w:i w:val="0"/>
          <w:sz w:val="28"/>
          <w:szCs w:val="28"/>
        </w:rPr>
      </w:pPr>
      <w:r>
        <w:rPr>
          <w:rStyle w:val="27"/>
          <w:rFonts w:hint="eastAsia" w:ascii="黑体" w:eastAsia="黑体"/>
          <w:b/>
          <w:i w:val="0"/>
          <w:sz w:val="28"/>
          <w:szCs w:val="28"/>
        </w:rPr>
        <w:t>参    考    资    料                               不得翻印</w:t>
      </w:r>
    </w:p>
    <w:p/>
    <w:p/>
    <w:p/>
    <w:p/>
    <w:p/>
    <w:p/>
    <w:p/>
    <w:p/>
    <w:p/>
    <w:p/>
    <w:p/>
    <w:p/>
    <w:p>
      <w:pPr>
        <w:jc w:val="center"/>
        <w:rPr>
          <w:rFonts w:ascii="黑体" w:eastAsia="黑体"/>
          <w:sz w:val="48"/>
          <w:szCs w:val="48"/>
        </w:rPr>
      </w:pPr>
      <w:r>
        <w:rPr>
          <w:rFonts w:hint="eastAsia" w:ascii="黑体" w:eastAsia="黑体"/>
          <w:sz w:val="48"/>
          <w:szCs w:val="48"/>
        </w:rPr>
        <w:t>中国中小企业相关法规政策文件汇编</w:t>
      </w:r>
    </w:p>
    <w:p>
      <w:pPr>
        <w:jc w:val="center"/>
        <w:rPr>
          <w:rFonts w:ascii="黑体" w:eastAsia="黑体"/>
          <w:sz w:val="48"/>
          <w:szCs w:val="48"/>
        </w:rPr>
      </w:pPr>
    </w:p>
    <w:p>
      <w:pPr>
        <w:jc w:val="center"/>
        <w:rPr>
          <w:rFonts w:ascii="黑体" w:eastAsia="黑体"/>
          <w:sz w:val="48"/>
          <w:szCs w:val="48"/>
        </w:rPr>
      </w:pPr>
    </w:p>
    <w:p>
      <w:pPr>
        <w:jc w:val="center"/>
        <w:rPr>
          <w:rFonts w:ascii="黑体" w:eastAsia="黑体"/>
          <w:sz w:val="48"/>
          <w:szCs w:val="48"/>
        </w:rPr>
      </w:pPr>
      <w:r>
        <w:rPr>
          <w:rFonts w:hint="eastAsia" w:ascii="黑体" w:eastAsia="黑体"/>
          <w:sz w:val="48"/>
          <w:szCs w:val="48"/>
        </w:rPr>
        <w:t>（201</w:t>
      </w:r>
      <w:r>
        <w:rPr>
          <w:rFonts w:hint="eastAsia" w:ascii="黑体" w:eastAsia="黑体"/>
          <w:sz w:val="48"/>
          <w:szCs w:val="48"/>
          <w:lang w:val="en-US" w:eastAsia="zh-CN"/>
        </w:rPr>
        <w:t>9</w:t>
      </w:r>
      <w:r>
        <w:rPr>
          <w:rFonts w:hint="eastAsia" w:ascii="黑体" w:eastAsia="黑体"/>
          <w:sz w:val="48"/>
          <w:szCs w:val="48"/>
        </w:rPr>
        <w:t>年</w:t>
      </w:r>
      <w:r>
        <w:rPr>
          <w:rFonts w:hint="eastAsia" w:ascii="黑体" w:eastAsia="黑体"/>
          <w:sz w:val="48"/>
          <w:szCs w:val="48"/>
          <w:lang w:val="en-US" w:eastAsia="zh-CN"/>
        </w:rPr>
        <w:t>1-12</w:t>
      </w:r>
      <w:r>
        <w:rPr>
          <w:rFonts w:hint="eastAsia" w:ascii="黑体" w:eastAsia="黑体"/>
          <w:sz w:val="48"/>
          <w:szCs w:val="48"/>
        </w:rPr>
        <w:t>月）</w:t>
      </w:r>
    </w:p>
    <w:p/>
    <w:p/>
    <w:p/>
    <w:p/>
    <w:p/>
    <w:p/>
    <w:p/>
    <w:p/>
    <w:p/>
    <w:p/>
    <w:p/>
    <w:p/>
    <w:p>
      <w:pPr>
        <w:spacing w:line="480" w:lineRule="auto"/>
        <w:jc w:val="center"/>
        <w:rPr>
          <w:rFonts w:ascii="黑体" w:eastAsia="黑体"/>
          <w:sz w:val="48"/>
          <w:szCs w:val="48"/>
        </w:rPr>
      </w:pPr>
      <w:r>
        <w:rPr>
          <w:rFonts w:hint="eastAsia" w:ascii="黑体" w:eastAsia="黑体"/>
          <w:sz w:val="48"/>
          <w:szCs w:val="48"/>
        </w:rPr>
        <w:t>中国中小企业协会</w:t>
      </w:r>
    </w:p>
    <w:p>
      <w:pPr>
        <w:spacing w:line="480" w:lineRule="auto"/>
        <w:jc w:val="center"/>
        <w:rPr>
          <w:rFonts w:ascii="黑体" w:eastAsia="黑体"/>
          <w:sz w:val="48"/>
          <w:szCs w:val="48"/>
        </w:rPr>
        <w:sectPr>
          <w:footerReference r:id="rId3" w:type="default"/>
          <w:footerReference r:id="rId4" w:type="even"/>
          <w:pgSz w:w="11906" w:h="16838"/>
          <w:pgMar w:top="1440" w:right="1800" w:bottom="1440" w:left="1800" w:header="851" w:footer="992" w:gutter="0"/>
          <w:pgNumType w:start="1"/>
          <w:cols w:space="720" w:num="1"/>
          <w:titlePg/>
          <w:docGrid w:type="lines" w:linePitch="312" w:charSpace="0"/>
        </w:sectPr>
      </w:pPr>
      <w:r>
        <w:rPr>
          <w:rFonts w:hint="eastAsia" w:ascii="黑体" w:eastAsia="黑体"/>
          <w:sz w:val="48"/>
          <w:szCs w:val="48"/>
        </w:rPr>
        <w:t>二Ｏ</w:t>
      </w:r>
      <w:r>
        <w:rPr>
          <w:rFonts w:hint="eastAsia" w:ascii="黑体" w:eastAsia="黑体"/>
          <w:sz w:val="48"/>
          <w:szCs w:val="48"/>
          <w:lang w:val="en-US" w:eastAsia="zh-CN"/>
        </w:rPr>
        <w:t>二</w:t>
      </w:r>
      <w:r>
        <w:rPr>
          <w:rFonts w:hint="eastAsia" w:ascii="黑体" w:eastAsia="黑体"/>
          <w:sz w:val="48"/>
          <w:szCs w:val="48"/>
        </w:rPr>
        <w:t>Ｏ年</w:t>
      </w:r>
      <w:r>
        <w:rPr>
          <w:rFonts w:hint="eastAsia" w:ascii="黑体" w:eastAsia="黑体"/>
          <w:sz w:val="48"/>
          <w:szCs w:val="48"/>
          <w:lang w:val="en-US" w:eastAsia="zh-CN"/>
        </w:rPr>
        <w:t>一</w:t>
      </w:r>
      <w:r>
        <w:rPr>
          <w:rFonts w:hint="eastAsia" w:ascii="黑体" w:eastAsia="黑体"/>
          <w:sz w:val="48"/>
          <w:szCs w:val="48"/>
        </w:rPr>
        <w:t>月</w:t>
      </w:r>
    </w:p>
    <w:p/>
    <w:p>
      <w:pPr>
        <w:pStyle w:val="13"/>
        <w:jc w:val="center"/>
        <w:rPr>
          <w:rStyle w:val="27"/>
          <w:rFonts w:ascii="黑体" w:eastAsia="黑体"/>
          <w:b/>
          <w:i w:val="0"/>
          <w:sz w:val="44"/>
          <w:szCs w:val="44"/>
        </w:rPr>
      </w:pPr>
      <w:r>
        <w:rPr>
          <w:rStyle w:val="27"/>
          <w:rFonts w:hint="eastAsia" w:ascii="黑体" w:eastAsia="黑体"/>
          <w:b/>
          <w:i w:val="0"/>
          <w:sz w:val="44"/>
          <w:szCs w:val="44"/>
        </w:rPr>
        <w:t>目     录</w:t>
      </w:r>
      <w:bookmarkStart w:id="255" w:name="_GoBack"/>
      <w:bookmarkEnd w:id="255"/>
    </w:p>
    <w:p/>
    <w:p>
      <w:pPr>
        <w:pStyle w:val="15"/>
        <w:tabs>
          <w:tab w:val="right" w:leader="dot" w:pos="8306"/>
          <w:tab w:val="clear" w:pos="8296"/>
        </w:tabs>
      </w:pPr>
      <w:r>
        <w:rPr>
          <w:rFonts w:hint="eastAsia" w:asciiTheme="majorEastAsia" w:hAnsiTheme="majorEastAsia" w:eastAsiaTheme="majorEastAsia" w:cstheme="majorEastAsia"/>
          <w:b/>
          <w:bCs/>
          <w:sz w:val="21"/>
          <w:szCs w:val="21"/>
        </w:rPr>
        <w:fldChar w:fldCharType="begin"/>
      </w:r>
      <w:r>
        <w:rPr>
          <w:rFonts w:hint="eastAsia" w:asciiTheme="majorEastAsia" w:hAnsiTheme="majorEastAsia" w:eastAsiaTheme="majorEastAsia" w:cstheme="majorEastAsia"/>
          <w:b/>
          <w:bCs/>
          <w:sz w:val="21"/>
          <w:szCs w:val="21"/>
        </w:rPr>
        <w:instrText xml:space="preserve">TOC \o "1-3" \h \u </w:instrText>
      </w:r>
      <w:r>
        <w:rPr>
          <w:rFonts w:hint="eastAsia" w:asciiTheme="majorEastAsia" w:hAnsiTheme="majorEastAsia" w:eastAsiaTheme="majorEastAsia" w:cstheme="majorEastAsia"/>
          <w:b/>
          <w:bCs/>
          <w:sz w:val="21"/>
          <w:szCs w:val="21"/>
        </w:rPr>
        <w:fldChar w:fldCharType="separate"/>
      </w:r>
      <w:r>
        <w:rPr>
          <w:rFonts w:hint="eastAsia" w:asciiTheme="majorEastAsia" w:hAnsiTheme="majorEastAsia" w:eastAsiaTheme="majorEastAsia" w:cstheme="majorEastAsia"/>
          <w:bCs/>
          <w:szCs w:val="21"/>
        </w:rPr>
        <w:fldChar w:fldCharType="begin"/>
      </w:r>
      <w:r>
        <w:rPr>
          <w:rFonts w:hint="eastAsia" w:asciiTheme="majorEastAsia" w:hAnsiTheme="majorEastAsia" w:eastAsiaTheme="majorEastAsia" w:cstheme="majorEastAsia"/>
          <w:bCs/>
          <w:szCs w:val="21"/>
        </w:rPr>
        <w:instrText xml:space="preserve"> HYPERLINK \l _Toc32195 </w:instrText>
      </w:r>
      <w:r>
        <w:rPr>
          <w:rFonts w:hint="eastAsia" w:asciiTheme="majorEastAsia" w:hAnsiTheme="majorEastAsia" w:eastAsiaTheme="majorEastAsia" w:cstheme="majorEastAsia"/>
          <w:bCs/>
          <w:szCs w:val="21"/>
        </w:rPr>
        <w:fldChar w:fldCharType="separate"/>
      </w:r>
      <w:r>
        <w:rPr>
          <w:rFonts w:hint="eastAsia" w:ascii="黑体" w:eastAsia="黑体"/>
          <w:szCs w:val="52"/>
        </w:rPr>
        <w:t>国务院文件</w:t>
      </w:r>
      <w:r>
        <w:rPr>
          <w:rFonts w:hint="eastAsia" w:asciiTheme="majorEastAsia" w:hAnsiTheme="majorEastAsia" w:eastAsiaTheme="majorEastAsia" w:cstheme="majorEastAsia"/>
          <w:bCs/>
          <w:szCs w:val="21"/>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t>1.</w:t>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_Toc25220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关于实施小微企业普惠性税收减免政策的通知</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_Toc25220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_Toc7734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财税〔2019〕13号</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_Toc7734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t>2.</w:t>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_Toc12017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中共中央办公厅 国务院办公厅印发《关于加强金融服务民营企业的若干意见》</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_Toc12017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2</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t>3.</w:t>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_Toc27707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国务院办公厅关于有效发挥政府性融资担保基金作用切实支持小微企业和“三农”发展的指导意见</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_Toc27707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7</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_Toc29982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国办发〔2019〕6号</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_Toc29982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7</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t>4.</w:t>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_Toc8782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国务院关于印发国家职业教育改革实施方案的通知</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_Toc8782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12</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_Toc6302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国发〔2019〕4号</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_Toc6302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12</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t>5.</w:t>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_Toc27589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国务院办公厅关于在制定行政法规规章行政规范性文件过程中充分听取企业和行业协会商会意见的通知</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_Toc27589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20</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_Toc9597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国办发〔2019〕9号</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_Toc9597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20</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t>6.</w:t>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_Toc7808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中共中央办公厅 国务院办公厅印发《关于促进中小企业健康发展的指导意见》</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_Toc7808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23</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t>7.</w:t>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_Toc16869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国务院关于推进国家级经济技术开发区创新提升打造改革开放新高地的意见</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_Toc16869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28</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_Toc17711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国发〔2019〕11号</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_Toc17711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28</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t>8.</w:t>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_Toc24825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国务院办公厅关于印发职业技能提升行动方案（2019—2021年）的通知</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_Toc24825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34</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_Toc8660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国办发〔2019〕24号</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_Toc8660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34</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t>9.</w:t>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_Toc253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国务院办公厅关于成立国务院就业工作领导小组的通知</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_Toc253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39</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_Toc4472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国办函〔2019〕38号</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_Toc4472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39</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t>10.</w:t>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_Toc23831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国务院办公厅关于加快推进社会信用体系建设构建以信用为基础的新型监管机制的指导意见</w:t>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_Toc23894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国办发〔2019〕35号</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_Toc23894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41</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t>11.</w:t>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_Toc27959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国务院办公厅关于促进平台经济规范健康发展的指导意见</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_Toc27959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46</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_Toc13306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国办发〔2019〕38号</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_Toc13306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46</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t>12.</w:t>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_Toc19803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国务院办公厅关于印发全国深化“放管服”改革优化营商环境电视电话会议重点任务分工方案的通知</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_Toc19803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50</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_Toc19170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国办发〔2019〕39号</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_Toc19170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51</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t>13.</w:t>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_Toc19874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国务院办公厅关于加快发展流通促进商业消费的意见</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_Toc19874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63</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_Toc12739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国办发〔2019〕42号</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_Toc12739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63</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t>14.</w:t>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_Toc23172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国务院关于调整工业产品生产许可证管理目录加强事中事后监管的决定</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_Toc23172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66</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_Toc7219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国发〔2019〕19号</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_Toc7219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66</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t>15.</w:t>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_Toc7422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国务院关于印发实施更大规模减税降费后调整中央与地方收入划分改革推进方案的通知</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_Toc7422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69</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_Toc7175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国发〔2019〕21号</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_Toc7175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69</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t>16.</w:t>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_Toc25059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实施更大规模减税降费后调整中央与地方收入划分改革推进方案</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_Toc25059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69</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t>17.</w:t>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_Toc12759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国务院办公厅关于做好优化营商环境改革举措复制推广借鉴工作的通知</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_Toc12759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71</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_Toc24081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国办函〔2019〕89号</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_Toc24081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71</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t>18.</w:t>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_Toc17167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中华人民共和国国务院令</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_Toc17167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78</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_Toc23874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第722号</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_Toc23874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78</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t>19.</w:t>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_Toc24723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中共中央办公厅 国务院办公厅印发《关于强化知识产权保护的意见》</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_Toc24723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90</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pP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_Toc17326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国发〔2019〕28号</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_Toc17326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106</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jc w:val="center"/>
        <w:rPr>
          <w:rFonts w:hint="eastAsia" w:ascii="黑体" w:hAnsi="黑体" w:eastAsia="黑体" w:cs="黑体"/>
          <w:bCs/>
          <w:smallCaps w:val="0"/>
          <w:kern w:val="2"/>
          <w:sz w:val="20"/>
          <w:szCs w:val="21"/>
          <w:lang w:val="en-US" w:eastAsia="zh-CN" w:bidi="ar-SA"/>
        </w:rPr>
      </w:pPr>
    </w:p>
    <w:p>
      <w:pPr>
        <w:pStyle w:val="18"/>
        <w:tabs>
          <w:tab w:val="right" w:leader="dot" w:pos="8306"/>
          <w:tab w:val="clear" w:pos="8296"/>
        </w:tabs>
        <w:jc w:val="center"/>
        <w:rPr>
          <w:rFonts w:hint="eastAsia" w:ascii="黑体" w:hAnsi="黑体" w:eastAsia="黑体" w:cs="黑体"/>
          <w:bCs/>
          <w:smallCaps w:val="0"/>
          <w:kern w:val="2"/>
          <w:sz w:val="20"/>
          <w:szCs w:val="21"/>
          <w:lang w:val="en-US" w:eastAsia="zh-CN" w:bidi="ar-SA"/>
        </w:rPr>
      </w:pPr>
      <w:r>
        <w:rPr>
          <w:rFonts w:hint="eastAsia" w:ascii="黑体" w:hAnsi="黑体" w:eastAsia="黑体" w:cs="黑体"/>
          <w:bCs/>
          <w:smallCaps w:val="0"/>
          <w:kern w:val="2"/>
          <w:sz w:val="20"/>
          <w:szCs w:val="21"/>
          <w:lang w:val="en-US" w:eastAsia="zh-CN" w:bidi="ar-SA"/>
        </w:rPr>
        <w:fldChar w:fldCharType="begin"/>
      </w:r>
      <w:r>
        <w:rPr>
          <w:rFonts w:hint="eastAsia" w:ascii="黑体" w:hAnsi="黑体" w:eastAsia="黑体" w:cs="黑体"/>
          <w:bCs/>
          <w:smallCaps w:val="0"/>
          <w:kern w:val="2"/>
          <w:sz w:val="20"/>
          <w:szCs w:val="21"/>
          <w:lang w:val="en-US" w:eastAsia="zh-CN" w:bidi="ar-SA"/>
        </w:rPr>
        <w:instrText xml:space="preserve"> HYPERLINK \l _Toc15930 </w:instrText>
      </w:r>
      <w:r>
        <w:rPr>
          <w:rFonts w:hint="eastAsia" w:ascii="黑体" w:hAnsi="黑体" w:eastAsia="黑体" w:cs="黑体"/>
          <w:bCs/>
          <w:smallCaps w:val="0"/>
          <w:kern w:val="2"/>
          <w:sz w:val="20"/>
          <w:szCs w:val="21"/>
          <w:lang w:val="en-US" w:eastAsia="zh-CN" w:bidi="ar-SA"/>
        </w:rPr>
        <w:fldChar w:fldCharType="separate"/>
      </w:r>
      <w:r>
        <w:rPr>
          <w:rFonts w:hint="eastAsia" w:ascii="黑体" w:hAnsi="黑体" w:eastAsia="黑体" w:cs="黑体"/>
          <w:bCs/>
          <w:smallCaps w:val="0"/>
          <w:kern w:val="2"/>
          <w:sz w:val="20"/>
          <w:szCs w:val="21"/>
          <w:lang w:val="en-US" w:eastAsia="zh-CN" w:bidi="ar-SA"/>
        </w:rPr>
        <w:t>部委文件</w:t>
      </w:r>
      <w:r>
        <w:rPr>
          <w:rFonts w:hint="eastAsia" w:ascii="黑体" w:hAnsi="黑体" w:eastAsia="黑体" w:cs="黑体"/>
          <w:bCs/>
          <w:smallCaps w:val="0"/>
          <w:kern w:val="2"/>
          <w:sz w:val="20"/>
          <w:szCs w:val="21"/>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t>1.</w:t>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_Toc15215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关于开展国家中小企业公共服务示范平台、国家小型微型企业创业创新示范基地运营情况以及国家中小企业公共服务示范平台（技术类）享受支持科技创新进口税收政策情况检查工作的通知</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_Toc15215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123</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_Toc7160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工企业函〔2019〕48号</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_Toc7160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123</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t>2.</w:t>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_Toc21972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关于开展2019年国家中小企业公共服务示范平台（技术类）享受科技创新进口免税政策资格申报和复审工作的通知</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_Toc21972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125</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_Toc10761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工企业函〔2019〕49号</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_Toc10761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125</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t>3.</w:t>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_Toc11131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关于印发《永续债相关会计处理的规定》的通知</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_Toc11131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126</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_Toc25248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财会〔2019〕2号</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_Toc25248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126</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t>4.</w:t>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_Toc10674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关于印发《进一步优化供给推动消费平稳增长促进形成强大国内市场的实施方案（2019年）》的通知</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_Toc10674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126</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_Toc29229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发改综合〔2019〕181号</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_Toc29229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126</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t>5.</w:t>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_Toc22036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关于进一步支持和促进重点群体创业就业有关税收政策的通知</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_Toc22036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130</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_Toc28424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财税〔2019〕22号</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_Toc28424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130</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t>6.</w:t>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_Toc8223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关于继续实施支持文化企业发展增值税政策的通知</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_Toc8223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132</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_Toc31538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财税〔2019〕17号</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_Toc31538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132</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t>7.</w:t>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_Toc14436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工业和信息化部办公厅 教育部办公厅关于开展2019年中小企业与高校毕业生创业就业对接服务工作的通知</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_Toc14436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133</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_Toc2370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工信厅联企业〔2019〕8号</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_Toc2370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133</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t>8.</w:t>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_Toc25147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中国银保监会关于进一步加强金融服务民营企业有关工作的通知</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_Toc25147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135</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_Toc1480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银保监发﹝2019﹞8号</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_Toc1480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135</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t>9.</w:t>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_Toc7208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市场监管总局关于《动产抵押登记办法（修改稿）》</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_Toc7208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139</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_Toc28834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公开征求意见的公告</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_Toc28834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139</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t>10.</w:t>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_Toc7250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工业和信息化部财政部关于举办2019年“创客中国”中小企业创新创业大赛的通知</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_Toc7250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141</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t>11.</w:t>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_Toc3608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关于推荐2019年度国家小型微型企业创业创新示范基地的通知</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_Toc3608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160</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_Toc18870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工企业函〔</w:t>
      </w:r>
      <w:r>
        <w:rPr>
          <w:rFonts w:hint="default" w:ascii="宋体" w:hAnsi="宋体" w:eastAsia="宋体" w:cs="Times New Roman"/>
          <w:bCs/>
          <w:smallCaps/>
          <w:kern w:val="2"/>
          <w:sz w:val="20"/>
          <w:szCs w:val="30"/>
          <w:lang w:val="en-US" w:eastAsia="zh-CN" w:bidi="ar-SA"/>
        </w:rPr>
        <w:t>2019</w:t>
      </w:r>
      <w:r>
        <w:rPr>
          <w:rFonts w:hint="eastAsia" w:ascii="宋体" w:hAnsi="宋体" w:eastAsia="宋体" w:cs="Times New Roman"/>
          <w:bCs/>
          <w:smallCaps/>
          <w:kern w:val="2"/>
          <w:sz w:val="20"/>
          <w:szCs w:val="30"/>
          <w:lang w:val="en-US" w:eastAsia="zh-CN" w:bidi="ar-SA"/>
        </w:rPr>
        <w:t>〕</w:t>
      </w:r>
      <w:r>
        <w:rPr>
          <w:rFonts w:hint="default" w:ascii="宋体" w:hAnsi="宋体" w:eastAsia="宋体" w:cs="Times New Roman"/>
          <w:bCs/>
          <w:smallCaps/>
          <w:kern w:val="2"/>
          <w:sz w:val="20"/>
          <w:szCs w:val="30"/>
          <w:lang w:val="en-US" w:eastAsia="zh-CN" w:bidi="ar-SA"/>
        </w:rPr>
        <w:t>164</w:t>
      </w:r>
      <w:r>
        <w:rPr>
          <w:rFonts w:hint="eastAsia" w:ascii="宋体" w:hAnsi="宋体" w:eastAsia="宋体" w:cs="Times New Roman"/>
          <w:bCs/>
          <w:smallCaps/>
          <w:kern w:val="2"/>
          <w:sz w:val="20"/>
          <w:szCs w:val="30"/>
          <w:lang w:val="en-US" w:eastAsia="zh-CN" w:bidi="ar-SA"/>
        </w:rPr>
        <w:t>号</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_Toc18870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160</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t>12.</w:t>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_Toc21947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国家发展改革委关于电网企业增值税税率调整相应降低一般工商业电价的通知</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_Toc21947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161</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_Toc13656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发改价格〔2019〕559号</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_Toc13656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161</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t>13.</w:t>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_Toc6974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工业和信息化部办公厅关于开展2019年度中小企业公共服务体系重点服务活动的通知</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_Toc6974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161</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t>14.</w:t>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_Toc12425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关于开展中小企业促进法执法检查调查问卷的通知</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_Toc12425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164</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t>15.</w:t>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_Toc29089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国家发展改革委 科技部关于构建市场导向的绿色技术创新体系的指导意见</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_Toc29089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165</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_Toc21840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发改环资﹝2019﹞689号</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_Toc21840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165</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t>16.</w:t>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_Toc18160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工业和信息化部办公厅 财政部办公厅关于发布支持打造大中小企业融通型和专业资本集聚型创新创业特色载体工作指南的通知</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_Toc18160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175</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t>17.</w:t>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_Toc1241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关于扩大固定资产加速折旧优惠政策适用范围的公告</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_Toc1241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178</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_Toc16369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财政部　税务总局公告2019年第66号</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_Toc16369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179</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t>18.</w:t>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_Toc26782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工业和信息化部 国家市场监督管理总局 广东省人民政府关于举办第十六届中国国际中小企业博览会的通知</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_Toc26782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179</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_Toc30565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工信部联企业[2019]87号</w:t>
      </w:r>
      <w:r>
        <w:rPr>
          <w:rFonts w:hint="eastAsia" w:ascii="宋体" w:hAnsi="宋体" w:eastAsia="宋体" w:cs="Times New Roman"/>
          <w:bCs/>
          <w:smallCaps/>
          <w:kern w:val="2"/>
          <w:sz w:val="20"/>
          <w:szCs w:val="30"/>
          <w:lang w:val="en-US" w:eastAsia="zh-CN" w:bidi="ar-SA"/>
        </w:rPr>
        <w:t xml:space="preserve"> </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_Toc30565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179</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t>19.</w:t>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_Toc13478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工业和信息化部中小企业局关于组织参加“创客中国”大中小企业融通发展项目对接会活动的通知</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_Toc13478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184</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t>20.</w:t>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_Toc260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关于进一步深入推进首台（套）重大技术装备保险补偿机制试点工作的通知</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_Toc260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185</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_Toc7148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财建〔2019〕225号</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_Toc7148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185</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t>21.</w:t>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_Toc545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关于集成电路设计和软件产业企业所得税政策的公告</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_Toc545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190</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_Toc17898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财政部　税务总局公告2019年第68号</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_Toc17898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190</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t>22.</w:t>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_Toc1477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科技部办公厅 财政部办公厅关于开展中央级高等学校和科研院所等单位重大科研基础设施和大型科研仪器开放共享评价考核工作的通知</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_Toc1477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191</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_Toc6466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国科办基〔2019〕49号</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_Toc6466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191</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t>23.</w:t>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_Toc18316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国家发展改革委 财政部关于降低部分行政事业性收费标准的通知</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_Toc18316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193</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_Toc28440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发改价格〔2019〕914号</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_Toc28440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193</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Times New Roman"/>
          <w:bCs/>
          <w:smallCaps/>
          <w:kern w:val="2"/>
          <w:sz w:val="20"/>
          <w:szCs w:val="30"/>
          <w:lang w:val="en-US" w:eastAsia="zh-CN" w:bidi="ar-SA"/>
        </w:rPr>
      </w:pPr>
      <w:r>
        <w:rPr>
          <w:rFonts w:hint="eastAsia" w:ascii="宋体" w:hAnsi="宋体" w:eastAsia="宋体" w:cs="Times New Roman"/>
          <w:bCs/>
          <w:smallCaps/>
          <w:kern w:val="2"/>
          <w:sz w:val="20"/>
          <w:szCs w:val="30"/>
          <w:lang w:val="en-US" w:eastAsia="zh-CN" w:bidi="ar-SA"/>
        </w:rPr>
        <w:t>24.</w:t>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HYPERLINK \l _Toc28251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工业和信息化部中小企业局关于做好2019年全国大众创业万众创新活动周工作的通知</w:t>
      </w:r>
      <w:r>
        <w:rPr>
          <w:rFonts w:hint="eastAsia" w:ascii="宋体" w:hAnsi="宋体" w:eastAsia="宋体" w:cs="Times New Roman"/>
          <w:bCs/>
          <w:smallCaps/>
          <w:kern w:val="2"/>
          <w:sz w:val="20"/>
          <w:szCs w:val="30"/>
          <w:lang w:val="en-US" w:eastAsia="zh-CN" w:bidi="ar-SA"/>
        </w:rPr>
        <w:tab/>
      </w:r>
      <w:r>
        <w:rPr>
          <w:rFonts w:hint="eastAsia" w:ascii="宋体" w:hAnsi="宋体" w:eastAsia="宋体" w:cs="Times New Roman"/>
          <w:bCs/>
          <w:smallCaps/>
          <w:kern w:val="2"/>
          <w:sz w:val="20"/>
          <w:szCs w:val="30"/>
          <w:lang w:val="en-US" w:eastAsia="zh-CN" w:bidi="ar-SA"/>
        </w:rPr>
        <w:fldChar w:fldCharType="begin"/>
      </w:r>
      <w:r>
        <w:rPr>
          <w:rFonts w:hint="eastAsia" w:ascii="宋体" w:hAnsi="宋体" w:eastAsia="宋体" w:cs="Times New Roman"/>
          <w:bCs/>
          <w:smallCaps/>
          <w:kern w:val="2"/>
          <w:sz w:val="20"/>
          <w:szCs w:val="30"/>
          <w:lang w:val="en-US" w:eastAsia="zh-CN" w:bidi="ar-SA"/>
        </w:rPr>
        <w:instrText xml:space="preserve"> PAGEREF _Toc28251 </w:instrText>
      </w:r>
      <w:r>
        <w:rPr>
          <w:rFonts w:hint="eastAsia" w:ascii="宋体" w:hAnsi="宋体" w:eastAsia="宋体" w:cs="Times New Roman"/>
          <w:bCs/>
          <w:smallCaps/>
          <w:kern w:val="2"/>
          <w:sz w:val="20"/>
          <w:szCs w:val="30"/>
          <w:lang w:val="en-US" w:eastAsia="zh-CN" w:bidi="ar-SA"/>
        </w:rPr>
        <w:fldChar w:fldCharType="separate"/>
      </w:r>
      <w:r>
        <w:rPr>
          <w:rFonts w:hint="eastAsia" w:ascii="宋体" w:hAnsi="宋体" w:eastAsia="宋体" w:cs="Times New Roman"/>
          <w:bCs/>
          <w:smallCaps/>
          <w:kern w:val="2"/>
          <w:sz w:val="20"/>
          <w:szCs w:val="30"/>
          <w:lang w:val="en-US" w:eastAsia="zh-CN" w:bidi="ar-SA"/>
        </w:rPr>
        <w:t>194</w:t>
      </w:r>
      <w:r>
        <w:rPr>
          <w:rFonts w:hint="eastAsia" w:ascii="宋体" w:hAnsi="宋体" w:eastAsia="宋体" w:cs="Times New Roman"/>
          <w:bCs/>
          <w:smallCaps/>
          <w:kern w:val="2"/>
          <w:sz w:val="20"/>
          <w:szCs w:val="30"/>
          <w:lang w:val="en-US" w:eastAsia="zh-CN" w:bidi="ar-SA"/>
        </w:rPr>
        <w:fldChar w:fldCharType="end"/>
      </w:r>
      <w:r>
        <w:rPr>
          <w:rFonts w:hint="eastAsia" w:ascii="宋体" w:hAnsi="宋体" w:eastAsia="宋体" w:cs="Times New Roman"/>
          <w:bCs/>
          <w:smallCaps/>
          <w:kern w:val="2"/>
          <w:sz w:val="20"/>
          <w:szCs w:val="30"/>
          <w:lang w:val="en-US" w:eastAsia="zh-CN" w:bidi="ar-SA"/>
        </w:rPr>
        <w:fldChar w:fldCharType="end"/>
      </w:r>
    </w:p>
    <w:p>
      <w:pPr>
        <w:pStyle w:val="18"/>
        <w:tabs>
          <w:tab w:val="right" w:leader="dot" w:pos="8306"/>
          <w:tab w:val="clear" w:pos="8296"/>
        </w:tabs>
        <w:rPr>
          <w:rFonts w:hint="eastAsia" w:ascii="宋体" w:hAnsi="宋体" w:eastAsia="宋体" w:cs="宋体"/>
          <w:bCs/>
          <w:szCs w:val="30"/>
        </w:rPr>
      </w:pPr>
      <w:r>
        <w:rPr>
          <w:rFonts w:hint="eastAsia" w:ascii="宋体" w:hAnsi="宋体" w:eastAsia="宋体" w:cs="宋体"/>
          <w:bCs/>
          <w:szCs w:val="30"/>
        </w:rPr>
        <w:fldChar w:fldCharType="begin"/>
      </w:r>
      <w:r>
        <w:rPr>
          <w:rFonts w:hint="eastAsia" w:ascii="宋体" w:hAnsi="宋体" w:eastAsia="宋体" w:cs="宋体"/>
          <w:bCs/>
          <w:szCs w:val="30"/>
        </w:rPr>
        <w:instrText xml:space="preserve"> HYPERLINK \l _Toc2386 </w:instrText>
      </w:r>
      <w:r>
        <w:rPr>
          <w:rFonts w:hint="eastAsia" w:ascii="宋体" w:hAnsi="宋体" w:eastAsia="宋体" w:cs="宋体"/>
          <w:bCs/>
          <w:szCs w:val="30"/>
        </w:rPr>
        <w:fldChar w:fldCharType="separate"/>
      </w:r>
      <w:r>
        <w:rPr>
          <w:rFonts w:hint="eastAsia" w:ascii="宋体" w:hAnsi="宋体" w:eastAsia="宋体" w:cs="宋体"/>
          <w:bCs/>
          <w:szCs w:val="30"/>
          <w:lang w:val="en-US" w:eastAsia="zh-CN"/>
        </w:rPr>
        <w:t>工企业函〔2019〕298号</w:t>
      </w:r>
      <w:r>
        <w:rPr>
          <w:rFonts w:hint="eastAsia" w:ascii="宋体" w:hAnsi="宋体" w:eastAsia="宋体" w:cs="宋体"/>
          <w:bCs/>
          <w:szCs w:val="30"/>
        </w:rPr>
        <w:tab/>
      </w:r>
      <w:r>
        <w:rPr>
          <w:rFonts w:hint="eastAsia" w:ascii="宋体" w:hAnsi="宋体" w:eastAsia="宋体" w:cs="宋体"/>
          <w:bCs/>
          <w:szCs w:val="30"/>
        </w:rPr>
        <w:fldChar w:fldCharType="begin"/>
      </w:r>
      <w:r>
        <w:rPr>
          <w:rFonts w:hint="eastAsia" w:ascii="宋体" w:hAnsi="宋体" w:eastAsia="宋体" w:cs="宋体"/>
          <w:bCs/>
          <w:szCs w:val="30"/>
        </w:rPr>
        <w:instrText xml:space="preserve"> PAGEREF _Toc2386 </w:instrText>
      </w:r>
      <w:r>
        <w:rPr>
          <w:rFonts w:hint="eastAsia" w:ascii="宋体" w:hAnsi="宋体" w:eastAsia="宋体" w:cs="宋体"/>
          <w:bCs/>
          <w:szCs w:val="30"/>
        </w:rPr>
        <w:fldChar w:fldCharType="separate"/>
      </w:r>
      <w:r>
        <w:rPr>
          <w:rFonts w:hint="eastAsia" w:ascii="宋体" w:hAnsi="宋体" w:eastAsia="宋体" w:cs="宋体"/>
          <w:bCs/>
          <w:szCs w:val="30"/>
        </w:rPr>
        <w:t>194</w:t>
      </w:r>
      <w:r>
        <w:rPr>
          <w:rFonts w:hint="eastAsia" w:ascii="宋体" w:hAnsi="宋体" w:eastAsia="宋体" w:cs="宋体"/>
          <w:bCs/>
          <w:szCs w:val="30"/>
        </w:rPr>
        <w:fldChar w:fldCharType="end"/>
      </w:r>
      <w:r>
        <w:rPr>
          <w:rFonts w:hint="eastAsia" w:ascii="宋体" w:hAnsi="宋体" w:eastAsia="宋体" w:cs="宋体"/>
          <w:bCs/>
          <w:szCs w:val="30"/>
        </w:rPr>
        <w:fldChar w:fldCharType="end"/>
      </w:r>
    </w:p>
    <w:p>
      <w:pPr>
        <w:pStyle w:val="18"/>
        <w:tabs>
          <w:tab w:val="right" w:leader="dot" w:pos="8306"/>
          <w:tab w:val="clear" w:pos="8296"/>
        </w:tabs>
        <w:rPr>
          <w:rFonts w:hint="eastAsia" w:ascii="宋体" w:hAnsi="宋体" w:eastAsia="宋体" w:cs="宋体"/>
          <w:bCs/>
          <w:szCs w:val="30"/>
        </w:rPr>
      </w:pPr>
      <w:r>
        <w:rPr>
          <w:rFonts w:hint="eastAsia" w:ascii="宋体" w:hAnsi="宋体" w:eastAsia="宋体" w:cs="宋体"/>
          <w:bCs/>
          <w:szCs w:val="30"/>
          <w:lang w:val="en-US" w:eastAsia="zh-CN"/>
        </w:rPr>
        <w:t>25.</w:t>
      </w:r>
      <w:r>
        <w:rPr>
          <w:rFonts w:hint="eastAsia" w:ascii="宋体" w:hAnsi="宋体" w:eastAsia="宋体" w:cs="宋体"/>
          <w:bCs/>
          <w:szCs w:val="30"/>
        </w:rPr>
        <w:fldChar w:fldCharType="begin"/>
      </w:r>
      <w:r>
        <w:rPr>
          <w:rFonts w:hint="eastAsia" w:ascii="宋体" w:hAnsi="宋体" w:eastAsia="宋体" w:cs="宋体"/>
          <w:bCs/>
          <w:szCs w:val="30"/>
        </w:rPr>
        <w:instrText xml:space="preserve"> HYPERLINK \l _Toc14172 </w:instrText>
      </w:r>
      <w:r>
        <w:rPr>
          <w:rFonts w:hint="eastAsia" w:ascii="宋体" w:hAnsi="宋体" w:eastAsia="宋体" w:cs="宋体"/>
          <w:bCs/>
          <w:szCs w:val="30"/>
        </w:rPr>
        <w:fldChar w:fldCharType="separate"/>
      </w:r>
      <w:r>
        <w:rPr>
          <w:rFonts w:hint="eastAsia" w:ascii="宋体" w:hAnsi="宋体" w:eastAsia="宋体" w:cs="宋体"/>
          <w:bCs/>
          <w:szCs w:val="30"/>
          <w:lang w:val="en-US" w:eastAsia="zh-CN"/>
        </w:rPr>
        <w:t>工业和信息化部中小企业局关于推荐2019年度国家中小企业公共服务示范平台的通知</w:t>
      </w:r>
      <w:r>
        <w:rPr>
          <w:rFonts w:hint="eastAsia" w:ascii="宋体" w:hAnsi="宋体" w:eastAsia="宋体" w:cs="宋体"/>
          <w:bCs/>
          <w:szCs w:val="30"/>
        </w:rPr>
        <w:tab/>
      </w:r>
      <w:r>
        <w:rPr>
          <w:rFonts w:hint="eastAsia" w:ascii="宋体" w:hAnsi="宋体" w:eastAsia="宋体" w:cs="宋体"/>
          <w:bCs/>
          <w:szCs w:val="30"/>
        </w:rPr>
        <w:fldChar w:fldCharType="begin"/>
      </w:r>
      <w:r>
        <w:rPr>
          <w:rFonts w:hint="eastAsia" w:ascii="宋体" w:hAnsi="宋体" w:eastAsia="宋体" w:cs="宋体"/>
          <w:bCs/>
          <w:szCs w:val="30"/>
        </w:rPr>
        <w:instrText xml:space="preserve"> PAGEREF _Toc14172 </w:instrText>
      </w:r>
      <w:r>
        <w:rPr>
          <w:rFonts w:hint="eastAsia" w:ascii="宋体" w:hAnsi="宋体" w:eastAsia="宋体" w:cs="宋体"/>
          <w:bCs/>
          <w:szCs w:val="30"/>
        </w:rPr>
        <w:fldChar w:fldCharType="separate"/>
      </w:r>
      <w:r>
        <w:rPr>
          <w:rFonts w:hint="eastAsia" w:ascii="宋体" w:hAnsi="宋体" w:eastAsia="宋体" w:cs="宋体"/>
          <w:bCs/>
          <w:szCs w:val="30"/>
        </w:rPr>
        <w:t>195</w:t>
      </w:r>
      <w:r>
        <w:rPr>
          <w:rFonts w:hint="eastAsia" w:ascii="宋体" w:hAnsi="宋体" w:eastAsia="宋体" w:cs="宋体"/>
          <w:bCs/>
          <w:szCs w:val="30"/>
        </w:rPr>
        <w:fldChar w:fldCharType="end"/>
      </w:r>
      <w:r>
        <w:rPr>
          <w:rFonts w:hint="eastAsia" w:ascii="宋体" w:hAnsi="宋体" w:eastAsia="宋体" w:cs="宋体"/>
          <w:bCs/>
          <w:szCs w:val="30"/>
        </w:rPr>
        <w:fldChar w:fldCharType="end"/>
      </w:r>
    </w:p>
    <w:p>
      <w:pPr>
        <w:pStyle w:val="18"/>
        <w:tabs>
          <w:tab w:val="right" w:leader="dot" w:pos="8306"/>
          <w:tab w:val="clear" w:pos="8296"/>
        </w:tabs>
        <w:rPr>
          <w:rFonts w:hint="eastAsia" w:ascii="宋体" w:hAnsi="宋体" w:eastAsia="宋体" w:cs="宋体"/>
          <w:bCs/>
          <w:szCs w:val="30"/>
        </w:rPr>
      </w:pPr>
      <w:r>
        <w:rPr>
          <w:rFonts w:hint="eastAsia" w:ascii="宋体" w:hAnsi="宋体" w:eastAsia="宋体" w:cs="宋体"/>
          <w:bCs/>
          <w:szCs w:val="30"/>
        </w:rPr>
        <w:fldChar w:fldCharType="begin"/>
      </w:r>
      <w:r>
        <w:rPr>
          <w:rFonts w:hint="eastAsia" w:ascii="宋体" w:hAnsi="宋体" w:eastAsia="宋体" w:cs="宋体"/>
          <w:bCs/>
          <w:szCs w:val="30"/>
        </w:rPr>
        <w:instrText xml:space="preserve"> HYPERLINK \l _Toc5347 </w:instrText>
      </w:r>
      <w:r>
        <w:rPr>
          <w:rFonts w:hint="eastAsia" w:ascii="宋体" w:hAnsi="宋体" w:eastAsia="宋体" w:cs="宋体"/>
          <w:bCs/>
          <w:szCs w:val="30"/>
        </w:rPr>
        <w:fldChar w:fldCharType="separate"/>
      </w:r>
      <w:r>
        <w:rPr>
          <w:rFonts w:hint="eastAsia" w:ascii="宋体" w:hAnsi="宋体" w:eastAsia="宋体" w:cs="宋体"/>
          <w:bCs/>
          <w:szCs w:val="30"/>
          <w:lang w:val="en-US" w:eastAsia="zh-CN"/>
        </w:rPr>
        <w:t>工企业函〔2019〕310号</w:t>
      </w:r>
      <w:r>
        <w:rPr>
          <w:rFonts w:hint="eastAsia" w:ascii="宋体" w:hAnsi="宋体" w:eastAsia="宋体" w:cs="宋体"/>
          <w:bCs/>
          <w:szCs w:val="30"/>
        </w:rPr>
        <w:tab/>
      </w:r>
      <w:r>
        <w:rPr>
          <w:rFonts w:hint="eastAsia" w:ascii="宋体" w:hAnsi="宋体" w:eastAsia="宋体" w:cs="宋体"/>
          <w:bCs/>
          <w:szCs w:val="30"/>
        </w:rPr>
        <w:fldChar w:fldCharType="begin"/>
      </w:r>
      <w:r>
        <w:rPr>
          <w:rFonts w:hint="eastAsia" w:ascii="宋体" w:hAnsi="宋体" w:eastAsia="宋体" w:cs="宋体"/>
          <w:bCs/>
          <w:szCs w:val="30"/>
        </w:rPr>
        <w:instrText xml:space="preserve"> PAGEREF _Toc5347 </w:instrText>
      </w:r>
      <w:r>
        <w:rPr>
          <w:rFonts w:hint="eastAsia" w:ascii="宋体" w:hAnsi="宋体" w:eastAsia="宋体" w:cs="宋体"/>
          <w:bCs/>
          <w:szCs w:val="30"/>
        </w:rPr>
        <w:fldChar w:fldCharType="separate"/>
      </w:r>
      <w:r>
        <w:rPr>
          <w:rFonts w:hint="eastAsia" w:ascii="宋体" w:hAnsi="宋体" w:eastAsia="宋体" w:cs="宋体"/>
          <w:bCs/>
          <w:szCs w:val="30"/>
        </w:rPr>
        <w:t>195</w:t>
      </w:r>
      <w:r>
        <w:rPr>
          <w:rFonts w:hint="eastAsia" w:ascii="宋体" w:hAnsi="宋体" w:eastAsia="宋体" w:cs="宋体"/>
          <w:bCs/>
          <w:szCs w:val="30"/>
        </w:rPr>
        <w:fldChar w:fldCharType="end"/>
      </w:r>
      <w:r>
        <w:rPr>
          <w:rFonts w:hint="eastAsia" w:ascii="宋体" w:hAnsi="宋体" w:eastAsia="宋体" w:cs="宋体"/>
          <w:bCs/>
          <w:szCs w:val="30"/>
        </w:rPr>
        <w:fldChar w:fldCharType="end"/>
      </w:r>
    </w:p>
    <w:p>
      <w:pPr>
        <w:pStyle w:val="18"/>
        <w:tabs>
          <w:tab w:val="right" w:leader="dot" w:pos="8306"/>
          <w:tab w:val="clear" w:pos="8296"/>
        </w:tabs>
        <w:rPr>
          <w:rFonts w:hint="eastAsia" w:ascii="宋体" w:hAnsi="宋体" w:eastAsia="宋体" w:cs="宋体"/>
          <w:bCs/>
          <w:szCs w:val="30"/>
        </w:rPr>
      </w:pPr>
      <w:r>
        <w:rPr>
          <w:rFonts w:hint="eastAsia" w:ascii="宋体" w:hAnsi="宋体" w:eastAsia="宋体" w:cs="宋体"/>
          <w:bCs/>
          <w:szCs w:val="30"/>
          <w:lang w:val="en-US" w:eastAsia="zh-CN"/>
        </w:rPr>
        <w:t>26.</w:t>
      </w:r>
      <w:r>
        <w:rPr>
          <w:rFonts w:hint="eastAsia" w:ascii="宋体" w:hAnsi="宋体" w:eastAsia="宋体" w:cs="宋体"/>
          <w:bCs/>
          <w:szCs w:val="30"/>
        </w:rPr>
        <w:fldChar w:fldCharType="begin"/>
      </w:r>
      <w:r>
        <w:rPr>
          <w:rFonts w:hint="eastAsia" w:ascii="宋体" w:hAnsi="宋体" w:eastAsia="宋体" w:cs="宋体"/>
          <w:bCs/>
          <w:szCs w:val="30"/>
        </w:rPr>
        <w:instrText xml:space="preserve"> HYPERLINK \l _Toc22543 </w:instrText>
      </w:r>
      <w:r>
        <w:rPr>
          <w:rFonts w:hint="eastAsia" w:ascii="宋体" w:hAnsi="宋体" w:eastAsia="宋体" w:cs="宋体"/>
          <w:bCs/>
          <w:szCs w:val="30"/>
        </w:rPr>
        <w:fldChar w:fldCharType="separate"/>
      </w:r>
      <w:r>
        <w:rPr>
          <w:rFonts w:hint="eastAsia" w:ascii="宋体" w:hAnsi="宋体" w:eastAsia="宋体" w:cs="宋体"/>
          <w:bCs/>
          <w:szCs w:val="30"/>
          <w:lang w:val="en-US" w:eastAsia="zh-CN"/>
        </w:rPr>
        <w:t>工业和信息化部关于公布第一批专精特新“小巨人”企业名单的通告</w:t>
      </w:r>
      <w:r>
        <w:rPr>
          <w:rFonts w:hint="eastAsia" w:ascii="宋体" w:hAnsi="宋体" w:eastAsia="宋体" w:cs="宋体"/>
          <w:bCs/>
          <w:szCs w:val="30"/>
        </w:rPr>
        <w:tab/>
      </w:r>
      <w:r>
        <w:rPr>
          <w:rFonts w:hint="eastAsia" w:ascii="宋体" w:hAnsi="宋体" w:eastAsia="宋体" w:cs="宋体"/>
          <w:bCs/>
          <w:szCs w:val="30"/>
        </w:rPr>
        <w:fldChar w:fldCharType="begin"/>
      </w:r>
      <w:r>
        <w:rPr>
          <w:rFonts w:hint="eastAsia" w:ascii="宋体" w:hAnsi="宋体" w:eastAsia="宋体" w:cs="宋体"/>
          <w:bCs/>
          <w:szCs w:val="30"/>
        </w:rPr>
        <w:instrText xml:space="preserve"> PAGEREF _Toc22543 </w:instrText>
      </w:r>
      <w:r>
        <w:rPr>
          <w:rFonts w:hint="eastAsia" w:ascii="宋体" w:hAnsi="宋体" w:eastAsia="宋体" w:cs="宋体"/>
          <w:bCs/>
          <w:szCs w:val="30"/>
        </w:rPr>
        <w:fldChar w:fldCharType="separate"/>
      </w:r>
      <w:r>
        <w:rPr>
          <w:rFonts w:hint="eastAsia" w:ascii="宋体" w:hAnsi="宋体" w:eastAsia="宋体" w:cs="宋体"/>
          <w:bCs/>
          <w:szCs w:val="30"/>
        </w:rPr>
        <w:t>197</w:t>
      </w:r>
      <w:r>
        <w:rPr>
          <w:rFonts w:hint="eastAsia" w:ascii="宋体" w:hAnsi="宋体" w:eastAsia="宋体" w:cs="宋体"/>
          <w:bCs/>
          <w:szCs w:val="30"/>
        </w:rPr>
        <w:fldChar w:fldCharType="end"/>
      </w:r>
      <w:r>
        <w:rPr>
          <w:rFonts w:hint="eastAsia" w:ascii="宋体" w:hAnsi="宋体" w:eastAsia="宋体" w:cs="宋体"/>
          <w:bCs/>
          <w:szCs w:val="30"/>
        </w:rPr>
        <w:fldChar w:fldCharType="end"/>
      </w:r>
    </w:p>
    <w:p>
      <w:pPr>
        <w:pStyle w:val="18"/>
        <w:tabs>
          <w:tab w:val="right" w:leader="dot" w:pos="8306"/>
          <w:tab w:val="clear" w:pos="8296"/>
        </w:tabs>
        <w:rPr>
          <w:rFonts w:hint="eastAsia" w:ascii="宋体" w:hAnsi="宋体" w:eastAsia="宋体" w:cs="宋体"/>
          <w:bCs/>
          <w:szCs w:val="30"/>
        </w:rPr>
      </w:pPr>
      <w:r>
        <w:rPr>
          <w:rFonts w:hint="eastAsia" w:ascii="宋体" w:hAnsi="宋体" w:eastAsia="宋体" w:cs="宋体"/>
          <w:bCs/>
          <w:szCs w:val="30"/>
        </w:rPr>
        <w:fldChar w:fldCharType="begin"/>
      </w:r>
      <w:r>
        <w:rPr>
          <w:rFonts w:hint="eastAsia" w:ascii="宋体" w:hAnsi="宋体" w:eastAsia="宋体" w:cs="宋体"/>
          <w:bCs/>
          <w:szCs w:val="30"/>
        </w:rPr>
        <w:instrText xml:space="preserve"> HYPERLINK \l _Toc823 </w:instrText>
      </w:r>
      <w:r>
        <w:rPr>
          <w:rFonts w:hint="eastAsia" w:ascii="宋体" w:hAnsi="宋体" w:eastAsia="宋体" w:cs="宋体"/>
          <w:bCs/>
          <w:szCs w:val="30"/>
        </w:rPr>
        <w:fldChar w:fldCharType="separate"/>
      </w:r>
      <w:r>
        <w:rPr>
          <w:rFonts w:hint="eastAsia" w:ascii="宋体" w:hAnsi="宋体" w:eastAsia="宋体" w:cs="宋体"/>
          <w:bCs/>
          <w:szCs w:val="30"/>
          <w:lang w:val="en-US" w:eastAsia="zh-CN"/>
        </w:rPr>
        <w:t>工信部企业函[2019]153号</w:t>
      </w:r>
      <w:r>
        <w:rPr>
          <w:rFonts w:hint="eastAsia" w:ascii="宋体" w:hAnsi="宋体" w:eastAsia="宋体" w:cs="宋体"/>
          <w:bCs/>
          <w:szCs w:val="30"/>
        </w:rPr>
        <w:tab/>
      </w:r>
      <w:r>
        <w:rPr>
          <w:rFonts w:hint="eastAsia" w:ascii="宋体" w:hAnsi="宋体" w:eastAsia="宋体" w:cs="宋体"/>
          <w:bCs/>
          <w:szCs w:val="30"/>
        </w:rPr>
        <w:fldChar w:fldCharType="begin"/>
      </w:r>
      <w:r>
        <w:rPr>
          <w:rFonts w:hint="eastAsia" w:ascii="宋体" w:hAnsi="宋体" w:eastAsia="宋体" w:cs="宋体"/>
          <w:bCs/>
          <w:szCs w:val="30"/>
        </w:rPr>
        <w:instrText xml:space="preserve"> PAGEREF _Toc823 </w:instrText>
      </w:r>
      <w:r>
        <w:rPr>
          <w:rFonts w:hint="eastAsia" w:ascii="宋体" w:hAnsi="宋体" w:eastAsia="宋体" w:cs="宋体"/>
          <w:bCs/>
          <w:szCs w:val="30"/>
        </w:rPr>
        <w:fldChar w:fldCharType="separate"/>
      </w:r>
      <w:r>
        <w:rPr>
          <w:rFonts w:hint="eastAsia" w:ascii="宋体" w:hAnsi="宋体" w:eastAsia="宋体" w:cs="宋体"/>
          <w:bCs/>
          <w:szCs w:val="30"/>
        </w:rPr>
        <w:t>197</w:t>
      </w:r>
      <w:r>
        <w:rPr>
          <w:rFonts w:hint="eastAsia" w:ascii="宋体" w:hAnsi="宋体" w:eastAsia="宋体" w:cs="宋体"/>
          <w:bCs/>
          <w:szCs w:val="30"/>
        </w:rPr>
        <w:fldChar w:fldCharType="end"/>
      </w:r>
      <w:r>
        <w:rPr>
          <w:rFonts w:hint="eastAsia" w:ascii="宋体" w:hAnsi="宋体" w:eastAsia="宋体" w:cs="宋体"/>
          <w:bCs/>
          <w:szCs w:val="30"/>
        </w:rPr>
        <w:fldChar w:fldCharType="end"/>
      </w:r>
    </w:p>
    <w:p>
      <w:pPr>
        <w:pStyle w:val="18"/>
        <w:tabs>
          <w:tab w:val="right" w:leader="dot" w:pos="8306"/>
          <w:tab w:val="clear" w:pos="8296"/>
        </w:tabs>
        <w:rPr>
          <w:rFonts w:hint="eastAsia" w:ascii="宋体" w:hAnsi="宋体" w:eastAsia="宋体" w:cs="宋体"/>
          <w:bCs/>
          <w:szCs w:val="30"/>
        </w:rPr>
      </w:pPr>
      <w:r>
        <w:rPr>
          <w:rFonts w:hint="eastAsia" w:ascii="宋体" w:hAnsi="宋体" w:eastAsia="宋体" w:cs="宋体"/>
          <w:bCs/>
          <w:szCs w:val="30"/>
          <w:lang w:val="en-US" w:eastAsia="zh-CN"/>
        </w:rPr>
        <w:t>27.</w:t>
      </w:r>
      <w:r>
        <w:rPr>
          <w:rFonts w:hint="eastAsia" w:ascii="宋体" w:hAnsi="宋体" w:eastAsia="宋体" w:cs="宋体"/>
          <w:bCs/>
          <w:szCs w:val="30"/>
        </w:rPr>
        <w:fldChar w:fldCharType="begin"/>
      </w:r>
      <w:r>
        <w:rPr>
          <w:rFonts w:hint="eastAsia" w:ascii="宋体" w:hAnsi="宋体" w:eastAsia="宋体" w:cs="宋体"/>
          <w:bCs/>
          <w:szCs w:val="30"/>
        </w:rPr>
        <w:instrText xml:space="preserve"> HYPERLINK \l _Toc19432 </w:instrText>
      </w:r>
      <w:r>
        <w:rPr>
          <w:rFonts w:hint="eastAsia" w:ascii="宋体" w:hAnsi="宋体" w:eastAsia="宋体" w:cs="宋体"/>
          <w:bCs/>
          <w:szCs w:val="30"/>
        </w:rPr>
        <w:fldChar w:fldCharType="separate"/>
      </w:r>
      <w:r>
        <w:rPr>
          <w:rFonts w:hint="eastAsia" w:ascii="宋体" w:hAnsi="宋体" w:eastAsia="宋体" w:cs="宋体"/>
          <w:bCs/>
          <w:szCs w:val="30"/>
          <w:lang w:val="en-US" w:eastAsia="zh-CN"/>
        </w:rPr>
        <w:t>关于养老、托育、家政等社区家庭服务业税费优惠政策的公告</w:t>
      </w:r>
      <w:r>
        <w:rPr>
          <w:rFonts w:hint="eastAsia" w:ascii="宋体" w:hAnsi="宋体" w:eastAsia="宋体" w:cs="宋体"/>
          <w:bCs/>
          <w:szCs w:val="30"/>
        </w:rPr>
        <w:tab/>
      </w:r>
      <w:r>
        <w:rPr>
          <w:rFonts w:hint="eastAsia" w:ascii="宋体" w:hAnsi="宋体" w:eastAsia="宋体" w:cs="宋体"/>
          <w:bCs/>
          <w:szCs w:val="30"/>
        </w:rPr>
        <w:fldChar w:fldCharType="begin"/>
      </w:r>
      <w:r>
        <w:rPr>
          <w:rFonts w:hint="eastAsia" w:ascii="宋体" w:hAnsi="宋体" w:eastAsia="宋体" w:cs="宋体"/>
          <w:bCs/>
          <w:szCs w:val="30"/>
        </w:rPr>
        <w:instrText xml:space="preserve"> PAGEREF _Toc19432 </w:instrText>
      </w:r>
      <w:r>
        <w:rPr>
          <w:rFonts w:hint="eastAsia" w:ascii="宋体" w:hAnsi="宋体" w:eastAsia="宋体" w:cs="宋体"/>
          <w:bCs/>
          <w:szCs w:val="30"/>
        </w:rPr>
        <w:fldChar w:fldCharType="separate"/>
      </w:r>
      <w:r>
        <w:rPr>
          <w:rFonts w:hint="eastAsia" w:ascii="宋体" w:hAnsi="宋体" w:eastAsia="宋体" w:cs="宋体"/>
          <w:bCs/>
          <w:szCs w:val="30"/>
        </w:rPr>
        <w:t>197</w:t>
      </w:r>
      <w:r>
        <w:rPr>
          <w:rFonts w:hint="eastAsia" w:ascii="宋体" w:hAnsi="宋体" w:eastAsia="宋体" w:cs="宋体"/>
          <w:bCs/>
          <w:szCs w:val="30"/>
        </w:rPr>
        <w:fldChar w:fldCharType="end"/>
      </w:r>
      <w:r>
        <w:rPr>
          <w:rFonts w:hint="eastAsia" w:ascii="宋体" w:hAnsi="宋体" w:eastAsia="宋体" w:cs="宋体"/>
          <w:bCs/>
          <w:szCs w:val="30"/>
        </w:rPr>
        <w:fldChar w:fldCharType="end"/>
      </w:r>
    </w:p>
    <w:p>
      <w:pPr>
        <w:pStyle w:val="18"/>
        <w:tabs>
          <w:tab w:val="right" w:leader="dot" w:pos="8306"/>
          <w:tab w:val="clear" w:pos="8296"/>
        </w:tabs>
        <w:rPr>
          <w:rFonts w:hint="eastAsia" w:ascii="宋体" w:hAnsi="宋体" w:eastAsia="宋体" w:cs="宋体"/>
          <w:bCs/>
          <w:szCs w:val="30"/>
        </w:rPr>
      </w:pPr>
      <w:r>
        <w:rPr>
          <w:rFonts w:hint="eastAsia" w:ascii="宋体" w:hAnsi="宋体" w:eastAsia="宋体" w:cs="宋体"/>
          <w:bCs/>
          <w:szCs w:val="30"/>
          <w:lang w:val="en-US" w:eastAsia="zh-CN"/>
        </w:rPr>
        <w:t>28.</w:t>
      </w:r>
      <w:r>
        <w:rPr>
          <w:rFonts w:hint="eastAsia" w:ascii="宋体" w:hAnsi="宋体" w:eastAsia="宋体" w:cs="宋体"/>
          <w:bCs/>
          <w:szCs w:val="30"/>
        </w:rPr>
        <w:fldChar w:fldCharType="begin"/>
      </w:r>
      <w:r>
        <w:rPr>
          <w:rFonts w:hint="eastAsia" w:ascii="宋体" w:hAnsi="宋体" w:eastAsia="宋体" w:cs="宋体"/>
          <w:bCs/>
          <w:szCs w:val="30"/>
        </w:rPr>
        <w:instrText xml:space="preserve"> HYPERLINK \l _Toc23238 </w:instrText>
      </w:r>
      <w:r>
        <w:rPr>
          <w:rFonts w:hint="eastAsia" w:ascii="宋体" w:hAnsi="宋体" w:eastAsia="宋体" w:cs="宋体"/>
          <w:bCs/>
          <w:szCs w:val="30"/>
        </w:rPr>
        <w:fldChar w:fldCharType="separate"/>
      </w:r>
      <w:r>
        <w:rPr>
          <w:rFonts w:hint="eastAsia" w:ascii="宋体" w:hAnsi="宋体" w:eastAsia="宋体" w:cs="宋体"/>
          <w:bCs/>
          <w:szCs w:val="30"/>
        </w:rPr>
        <w:t>财政部 税务总局 发展改革委 民政部 商务部 卫生健康委公告2019年第76号</w:t>
      </w:r>
      <w:r>
        <w:rPr>
          <w:rFonts w:hint="eastAsia" w:ascii="宋体" w:hAnsi="宋体" w:eastAsia="宋体" w:cs="宋体"/>
          <w:bCs/>
          <w:szCs w:val="30"/>
        </w:rPr>
        <w:tab/>
      </w:r>
      <w:r>
        <w:rPr>
          <w:rFonts w:hint="eastAsia" w:ascii="宋体" w:hAnsi="宋体" w:eastAsia="宋体" w:cs="宋体"/>
          <w:bCs/>
          <w:szCs w:val="30"/>
        </w:rPr>
        <w:fldChar w:fldCharType="begin"/>
      </w:r>
      <w:r>
        <w:rPr>
          <w:rFonts w:hint="eastAsia" w:ascii="宋体" w:hAnsi="宋体" w:eastAsia="宋体" w:cs="宋体"/>
          <w:bCs/>
          <w:szCs w:val="30"/>
        </w:rPr>
        <w:instrText xml:space="preserve"> PAGEREF _Toc23238 </w:instrText>
      </w:r>
      <w:r>
        <w:rPr>
          <w:rFonts w:hint="eastAsia" w:ascii="宋体" w:hAnsi="宋体" w:eastAsia="宋体" w:cs="宋体"/>
          <w:bCs/>
          <w:szCs w:val="30"/>
        </w:rPr>
        <w:fldChar w:fldCharType="separate"/>
      </w:r>
      <w:r>
        <w:rPr>
          <w:rFonts w:hint="eastAsia" w:ascii="宋体" w:hAnsi="宋体" w:eastAsia="宋体" w:cs="宋体"/>
          <w:bCs/>
          <w:szCs w:val="30"/>
        </w:rPr>
        <w:t>197</w:t>
      </w:r>
      <w:r>
        <w:rPr>
          <w:rFonts w:hint="eastAsia" w:ascii="宋体" w:hAnsi="宋体" w:eastAsia="宋体" w:cs="宋体"/>
          <w:bCs/>
          <w:szCs w:val="30"/>
        </w:rPr>
        <w:fldChar w:fldCharType="end"/>
      </w:r>
      <w:r>
        <w:rPr>
          <w:rFonts w:hint="eastAsia" w:ascii="宋体" w:hAnsi="宋体" w:eastAsia="宋体" w:cs="宋体"/>
          <w:bCs/>
          <w:szCs w:val="30"/>
        </w:rPr>
        <w:fldChar w:fldCharType="end"/>
      </w:r>
    </w:p>
    <w:p>
      <w:pPr>
        <w:pStyle w:val="18"/>
        <w:tabs>
          <w:tab w:val="right" w:leader="dot" w:pos="8306"/>
          <w:tab w:val="clear" w:pos="8296"/>
        </w:tabs>
        <w:rPr>
          <w:rFonts w:hint="eastAsia" w:ascii="宋体" w:hAnsi="宋体" w:eastAsia="宋体" w:cs="宋体"/>
          <w:bCs/>
          <w:szCs w:val="30"/>
        </w:rPr>
      </w:pPr>
      <w:r>
        <w:rPr>
          <w:rFonts w:hint="eastAsia" w:ascii="宋体" w:hAnsi="宋体" w:eastAsia="宋体" w:cs="宋体"/>
          <w:bCs/>
          <w:szCs w:val="30"/>
          <w:lang w:val="en-US" w:eastAsia="zh-CN"/>
        </w:rPr>
        <w:t>29.</w:t>
      </w:r>
      <w:r>
        <w:rPr>
          <w:rFonts w:hint="eastAsia" w:ascii="宋体" w:hAnsi="宋体" w:eastAsia="宋体" w:cs="宋体"/>
          <w:bCs/>
          <w:szCs w:val="30"/>
        </w:rPr>
        <w:fldChar w:fldCharType="begin"/>
      </w:r>
      <w:r>
        <w:rPr>
          <w:rFonts w:hint="eastAsia" w:ascii="宋体" w:hAnsi="宋体" w:eastAsia="宋体" w:cs="宋体"/>
          <w:bCs/>
          <w:szCs w:val="30"/>
        </w:rPr>
        <w:instrText xml:space="preserve"> HYPERLINK \l _Toc23824 </w:instrText>
      </w:r>
      <w:r>
        <w:rPr>
          <w:rFonts w:hint="eastAsia" w:ascii="宋体" w:hAnsi="宋体" w:eastAsia="宋体" w:cs="宋体"/>
          <w:bCs/>
          <w:szCs w:val="30"/>
        </w:rPr>
        <w:fldChar w:fldCharType="separate"/>
      </w:r>
      <w:r>
        <w:rPr>
          <w:rFonts w:hint="eastAsia" w:ascii="宋体" w:hAnsi="宋体" w:eastAsia="宋体" w:cs="宋体"/>
          <w:bCs/>
          <w:szCs w:val="30"/>
          <w:lang w:val="en-US" w:eastAsia="zh-CN"/>
        </w:rPr>
        <w:t>关于个人取得有关收入适用个人所得税应税所得项目的公告</w:t>
      </w:r>
      <w:r>
        <w:rPr>
          <w:rFonts w:hint="eastAsia" w:ascii="宋体" w:hAnsi="宋体" w:eastAsia="宋体" w:cs="宋体"/>
          <w:bCs/>
          <w:szCs w:val="30"/>
        </w:rPr>
        <w:tab/>
      </w:r>
      <w:r>
        <w:rPr>
          <w:rFonts w:hint="eastAsia" w:ascii="宋体" w:hAnsi="宋体" w:eastAsia="宋体" w:cs="宋体"/>
          <w:bCs/>
          <w:szCs w:val="30"/>
        </w:rPr>
        <w:fldChar w:fldCharType="begin"/>
      </w:r>
      <w:r>
        <w:rPr>
          <w:rFonts w:hint="eastAsia" w:ascii="宋体" w:hAnsi="宋体" w:eastAsia="宋体" w:cs="宋体"/>
          <w:bCs/>
          <w:szCs w:val="30"/>
        </w:rPr>
        <w:instrText xml:space="preserve"> PAGEREF _Toc23824 </w:instrText>
      </w:r>
      <w:r>
        <w:rPr>
          <w:rFonts w:hint="eastAsia" w:ascii="宋体" w:hAnsi="宋体" w:eastAsia="宋体" w:cs="宋体"/>
          <w:bCs/>
          <w:szCs w:val="30"/>
        </w:rPr>
        <w:fldChar w:fldCharType="separate"/>
      </w:r>
      <w:r>
        <w:rPr>
          <w:rFonts w:hint="eastAsia" w:ascii="宋体" w:hAnsi="宋体" w:eastAsia="宋体" w:cs="宋体"/>
          <w:bCs/>
          <w:szCs w:val="30"/>
        </w:rPr>
        <w:t>199</w:t>
      </w:r>
      <w:r>
        <w:rPr>
          <w:rFonts w:hint="eastAsia" w:ascii="宋体" w:hAnsi="宋体" w:eastAsia="宋体" w:cs="宋体"/>
          <w:bCs/>
          <w:szCs w:val="30"/>
        </w:rPr>
        <w:fldChar w:fldCharType="end"/>
      </w:r>
      <w:r>
        <w:rPr>
          <w:rFonts w:hint="eastAsia" w:ascii="宋体" w:hAnsi="宋体" w:eastAsia="宋体" w:cs="宋体"/>
          <w:bCs/>
          <w:szCs w:val="30"/>
        </w:rPr>
        <w:fldChar w:fldCharType="end"/>
      </w:r>
    </w:p>
    <w:p>
      <w:pPr>
        <w:pStyle w:val="18"/>
        <w:tabs>
          <w:tab w:val="right" w:leader="dot" w:pos="8306"/>
          <w:tab w:val="clear" w:pos="8296"/>
        </w:tabs>
        <w:rPr>
          <w:rFonts w:hint="eastAsia" w:ascii="宋体" w:hAnsi="宋体" w:eastAsia="宋体" w:cs="宋体"/>
          <w:bCs/>
          <w:szCs w:val="30"/>
        </w:rPr>
      </w:pPr>
      <w:r>
        <w:rPr>
          <w:rFonts w:hint="eastAsia" w:ascii="宋体" w:hAnsi="宋体" w:eastAsia="宋体" w:cs="宋体"/>
          <w:bCs/>
          <w:szCs w:val="30"/>
        </w:rPr>
        <w:fldChar w:fldCharType="begin"/>
      </w:r>
      <w:r>
        <w:rPr>
          <w:rFonts w:hint="eastAsia" w:ascii="宋体" w:hAnsi="宋体" w:eastAsia="宋体" w:cs="宋体"/>
          <w:bCs/>
          <w:szCs w:val="30"/>
        </w:rPr>
        <w:instrText xml:space="preserve"> HYPERLINK \l _Toc19574 </w:instrText>
      </w:r>
      <w:r>
        <w:rPr>
          <w:rFonts w:hint="eastAsia" w:ascii="宋体" w:hAnsi="宋体" w:eastAsia="宋体" w:cs="宋体"/>
          <w:bCs/>
          <w:szCs w:val="30"/>
        </w:rPr>
        <w:fldChar w:fldCharType="separate"/>
      </w:r>
      <w:r>
        <w:rPr>
          <w:rFonts w:hint="eastAsia" w:ascii="宋体" w:hAnsi="宋体" w:eastAsia="宋体" w:cs="宋体"/>
          <w:bCs/>
          <w:szCs w:val="30"/>
          <w:lang w:val="en-US" w:eastAsia="zh-CN"/>
        </w:rPr>
        <w:t>财政部 税务总局公告2019年第74号</w:t>
      </w:r>
      <w:r>
        <w:rPr>
          <w:rFonts w:hint="eastAsia" w:ascii="宋体" w:hAnsi="宋体" w:eastAsia="宋体" w:cs="宋体"/>
          <w:bCs/>
          <w:szCs w:val="30"/>
        </w:rPr>
        <w:tab/>
      </w:r>
      <w:r>
        <w:rPr>
          <w:rFonts w:hint="eastAsia" w:ascii="宋体" w:hAnsi="宋体" w:eastAsia="宋体" w:cs="宋体"/>
          <w:bCs/>
          <w:szCs w:val="30"/>
        </w:rPr>
        <w:fldChar w:fldCharType="begin"/>
      </w:r>
      <w:r>
        <w:rPr>
          <w:rFonts w:hint="eastAsia" w:ascii="宋体" w:hAnsi="宋体" w:eastAsia="宋体" w:cs="宋体"/>
          <w:bCs/>
          <w:szCs w:val="30"/>
        </w:rPr>
        <w:instrText xml:space="preserve"> PAGEREF _Toc19574 </w:instrText>
      </w:r>
      <w:r>
        <w:rPr>
          <w:rFonts w:hint="eastAsia" w:ascii="宋体" w:hAnsi="宋体" w:eastAsia="宋体" w:cs="宋体"/>
          <w:bCs/>
          <w:szCs w:val="30"/>
        </w:rPr>
        <w:fldChar w:fldCharType="separate"/>
      </w:r>
      <w:r>
        <w:rPr>
          <w:rFonts w:hint="eastAsia" w:ascii="宋体" w:hAnsi="宋体" w:eastAsia="宋体" w:cs="宋体"/>
          <w:bCs/>
          <w:szCs w:val="30"/>
        </w:rPr>
        <w:t>199</w:t>
      </w:r>
      <w:r>
        <w:rPr>
          <w:rFonts w:hint="eastAsia" w:ascii="宋体" w:hAnsi="宋体" w:eastAsia="宋体" w:cs="宋体"/>
          <w:bCs/>
          <w:szCs w:val="30"/>
        </w:rPr>
        <w:fldChar w:fldCharType="end"/>
      </w:r>
      <w:r>
        <w:rPr>
          <w:rFonts w:hint="eastAsia" w:ascii="宋体" w:hAnsi="宋体" w:eastAsia="宋体" w:cs="宋体"/>
          <w:bCs/>
          <w:szCs w:val="30"/>
        </w:rPr>
        <w:fldChar w:fldCharType="end"/>
      </w:r>
    </w:p>
    <w:p>
      <w:pPr>
        <w:pStyle w:val="18"/>
        <w:tabs>
          <w:tab w:val="right" w:leader="dot" w:pos="8306"/>
          <w:tab w:val="clear" w:pos="8296"/>
        </w:tabs>
        <w:rPr>
          <w:rFonts w:hint="eastAsia" w:ascii="宋体" w:hAnsi="宋体" w:eastAsia="宋体" w:cs="宋体"/>
          <w:bCs/>
          <w:szCs w:val="30"/>
        </w:rPr>
      </w:pPr>
      <w:r>
        <w:rPr>
          <w:rFonts w:hint="eastAsia" w:ascii="宋体" w:hAnsi="宋体" w:eastAsia="宋体" w:cs="宋体"/>
          <w:bCs/>
          <w:szCs w:val="30"/>
          <w:lang w:val="en-US" w:eastAsia="zh-CN"/>
        </w:rPr>
        <w:t>30.</w:t>
      </w:r>
      <w:r>
        <w:rPr>
          <w:rFonts w:hint="eastAsia" w:ascii="宋体" w:hAnsi="宋体" w:eastAsia="宋体" w:cs="宋体"/>
          <w:bCs/>
          <w:szCs w:val="30"/>
        </w:rPr>
        <w:fldChar w:fldCharType="begin"/>
      </w:r>
      <w:r>
        <w:rPr>
          <w:rFonts w:hint="eastAsia" w:ascii="宋体" w:hAnsi="宋体" w:eastAsia="宋体" w:cs="宋体"/>
          <w:bCs/>
          <w:szCs w:val="30"/>
        </w:rPr>
        <w:instrText xml:space="preserve"> HYPERLINK \l _Toc21158 </w:instrText>
      </w:r>
      <w:r>
        <w:rPr>
          <w:rFonts w:hint="eastAsia" w:ascii="宋体" w:hAnsi="宋体" w:eastAsia="宋体" w:cs="宋体"/>
          <w:bCs/>
          <w:szCs w:val="30"/>
        </w:rPr>
        <w:fldChar w:fldCharType="separate"/>
      </w:r>
      <w:r>
        <w:rPr>
          <w:rFonts w:hint="eastAsia" w:ascii="宋体" w:hAnsi="宋体" w:eastAsia="宋体" w:cs="宋体"/>
          <w:bCs/>
          <w:szCs w:val="30"/>
          <w:lang w:val="en-US" w:eastAsia="zh-CN"/>
        </w:rPr>
        <w:t>关于《可再生能源发展专项资金管理暂行办法》的补充通知</w:t>
      </w:r>
      <w:r>
        <w:rPr>
          <w:rFonts w:hint="eastAsia" w:ascii="宋体" w:hAnsi="宋体" w:eastAsia="宋体" w:cs="宋体"/>
          <w:bCs/>
          <w:szCs w:val="30"/>
        </w:rPr>
        <w:tab/>
      </w:r>
      <w:r>
        <w:rPr>
          <w:rFonts w:hint="eastAsia" w:ascii="宋体" w:hAnsi="宋体" w:eastAsia="宋体" w:cs="宋体"/>
          <w:bCs/>
          <w:szCs w:val="30"/>
        </w:rPr>
        <w:fldChar w:fldCharType="begin"/>
      </w:r>
      <w:r>
        <w:rPr>
          <w:rFonts w:hint="eastAsia" w:ascii="宋体" w:hAnsi="宋体" w:eastAsia="宋体" w:cs="宋体"/>
          <w:bCs/>
          <w:szCs w:val="30"/>
        </w:rPr>
        <w:instrText xml:space="preserve"> PAGEREF _Toc21158 </w:instrText>
      </w:r>
      <w:r>
        <w:rPr>
          <w:rFonts w:hint="eastAsia" w:ascii="宋体" w:hAnsi="宋体" w:eastAsia="宋体" w:cs="宋体"/>
          <w:bCs/>
          <w:szCs w:val="30"/>
        </w:rPr>
        <w:fldChar w:fldCharType="separate"/>
      </w:r>
      <w:r>
        <w:rPr>
          <w:rFonts w:hint="eastAsia" w:ascii="宋体" w:hAnsi="宋体" w:eastAsia="宋体" w:cs="宋体"/>
          <w:bCs/>
          <w:szCs w:val="30"/>
        </w:rPr>
        <w:t>201</w:t>
      </w:r>
      <w:r>
        <w:rPr>
          <w:rFonts w:hint="eastAsia" w:ascii="宋体" w:hAnsi="宋体" w:eastAsia="宋体" w:cs="宋体"/>
          <w:bCs/>
          <w:szCs w:val="30"/>
        </w:rPr>
        <w:fldChar w:fldCharType="end"/>
      </w:r>
      <w:r>
        <w:rPr>
          <w:rFonts w:hint="eastAsia" w:ascii="宋体" w:hAnsi="宋体" w:eastAsia="宋体" w:cs="宋体"/>
          <w:bCs/>
          <w:szCs w:val="30"/>
        </w:rPr>
        <w:fldChar w:fldCharType="end"/>
      </w:r>
    </w:p>
    <w:p>
      <w:pPr>
        <w:pStyle w:val="18"/>
        <w:tabs>
          <w:tab w:val="right" w:leader="dot" w:pos="8306"/>
          <w:tab w:val="clear" w:pos="8296"/>
        </w:tabs>
        <w:rPr>
          <w:rFonts w:hint="eastAsia" w:ascii="宋体" w:hAnsi="宋体" w:eastAsia="宋体" w:cs="宋体"/>
          <w:bCs/>
          <w:szCs w:val="30"/>
        </w:rPr>
      </w:pPr>
      <w:r>
        <w:rPr>
          <w:rFonts w:hint="eastAsia" w:ascii="宋体" w:hAnsi="宋体" w:eastAsia="宋体" w:cs="宋体"/>
          <w:bCs/>
          <w:szCs w:val="30"/>
        </w:rPr>
        <w:fldChar w:fldCharType="begin"/>
      </w:r>
      <w:r>
        <w:rPr>
          <w:rFonts w:hint="eastAsia" w:ascii="宋体" w:hAnsi="宋体" w:eastAsia="宋体" w:cs="宋体"/>
          <w:bCs/>
          <w:szCs w:val="30"/>
        </w:rPr>
        <w:instrText xml:space="preserve"> HYPERLINK \l _Toc23899 </w:instrText>
      </w:r>
      <w:r>
        <w:rPr>
          <w:rFonts w:hint="eastAsia" w:ascii="宋体" w:hAnsi="宋体" w:eastAsia="宋体" w:cs="宋体"/>
          <w:bCs/>
          <w:szCs w:val="30"/>
        </w:rPr>
        <w:fldChar w:fldCharType="separate"/>
      </w:r>
      <w:r>
        <w:rPr>
          <w:rFonts w:hint="eastAsia" w:ascii="宋体" w:hAnsi="宋体" w:eastAsia="宋体" w:cs="宋体"/>
          <w:bCs/>
          <w:szCs w:val="30"/>
          <w:lang w:val="en-US" w:eastAsia="zh-CN"/>
        </w:rPr>
        <w:t>财建〔2019〕298号</w:t>
      </w:r>
      <w:r>
        <w:rPr>
          <w:rFonts w:hint="eastAsia" w:ascii="宋体" w:hAnsi="宋体" w:eastAsia="宋体" w:cs="宋体"/>
          <w:bCs/>
          <w:szCs w:val="30"/>
        </w:rPr>
        <w:tab/>
      </w:r>
      <w:r>
        <w:rPr>
          <w:rFonts w:hint="eastAsia" w:ascii="宋体" w:hAnsi="宋体" w:eastAsia="宋体" w:cs="宋体"/>
          <w:bCs/>
          <w:szCs w:val="30"/>
        </w:rPr>
        <w:fldChar w:fldCharType="begin"/>
      </w:r>
      <w:r>
        <w:rPr>
          <w:rFonts w:hint="eastAsia" w:ascii="宋体" w:hAnsi="宋体" w:eastAsia="宋体" w:cs="宋体"/>
          <w:bCs/>
          <w:szCs w:val="30"/>
        </w:rPr>
        <w:instrText xml:space="preserve"> PAGEREF _Toc23899 </w:instrText>
      </w:r>
      <w:r>
        <w:rPr>
          <w:rFonts w:hint="eastAsia" w:ascii="宋体" w:hAnsi="宋体" w:eastAsia="宋体" w:cs="宋体"/>
          <w:bCs/>
          <w:szCs w:val="30"/>
        </w:rPr>
        <w:fldChar w:fldCharType="separate"/>
      </w:r>
      <w:r>
        <w:rPr>
          <w:rFonts w:hint="eastAsia" w:ascii="宋体" w:hAnsi="宋体" w:eastAsia="宋体" w:cs="宋体"/>
          <w:bCs/>
          <w:szCs w:val="30"/>
        </w:rPr>
        <w:t>201</w:t>
      </w:r>
      <w:r>
        <w:rPr>
          <w:rFonts w:hint="eastAsia" w:ascii="宋体" w:hAnsi="宋体" w:eastAsia="宋体" w:cs="宋体"/>
          <w:bCs/>
          <w:szCs w:val="30"/>
        </w:rPr>
        <w:fldChar w:fldCharType="end"/>
      </w:r>
      <w:r>
        <w:rPr>
          <w:rFonts w:hint="eastAsia" w:ascii="宋体" w:hAnsi="宋体" w:eastAsia="宋体" w:cs="宋体"/>
          <w:bCs/>
          <w:szCs w:val="30"/>
        </w:rPr>
        <w:fldChar w:fldCharType="end"/>
      </w:r>
    </w:p>
    <w:p>
      <w:pPr>
        <w:pStyle w:val="18"/>
        <w:tabs>
          <w:tab w:val="right" w:leader="dot" w:pos="8306"/>
          <w:tab w:val="clear" w:pos="8296"/>
        </w:tabs>
        <w:rPr>
          <w:rFonts w:hint="eastAsia" w:ascii="宋体" w:hAnsi="宋体" w:eastAsia="宋体" w:cs="宋体"/>
          <w:bCs/>
          <w:szCs w:val="30"/>
        </w:rPr>
      </w:pPr>
      <w:r>
        <w:rPr>
          <w:rFonts w:hint="eastAsia" w:ascii="宋体" w:hAnsi="宋体" w:eastAsia="宋体" w:cs="宋体"/>
          <w:bCs/>
          <w:szCs w:val="30"/>
          <w:lang w:val="en-US" w:eastAsia="zh-CN"/>
        </w:rPr>
        <w:t>31.</w:t>
      </w:r>
      <w:r>
        <w:rPr>
          <w:rFonts w:hint="eastAsia" w:ascii="宋体" w:hAnsi="宋体" w:eastAsia="宋体" w:cs="宋体"/>
          <w:bCs/>
          <w:szCs w:val="30"/>
        </w:rPr>
        <w:fldChar w:fldCharType="begin"/>
      </w:r>
      <w:r>
        <w:rPr>
          <w:rFonts w:hint="eastAsia" w:ascii="宋体" w:hAnsi="宋体" w:eastAsia="宋体" w:cs="宋体"/>
          <w:bCs/>
          <w:szCs w:val="30"/>
        </w:rPr>
        <w:instrText xml:space="preserve"> HYPERLINK \l _Toc22047 </w:instrText>
      </w:r>
      <w:r>
        <w:rPr>
          <w:rFonts w:hint="eastAsia" w:ascii="宋体" w:hAnsi="宋体" w:eastAsia="宋体" w:cs="宋体"/>
          <w:bCs/>
          <w:szCs w:val="30"/>
        </w:rPr>
        <w:fldChar w:fldCharType="separate"/>
      </w:r>
      <w:r>
        <w:rPr>
          <w:rFonts w:hint="eastAsia" w:ascii="宋体" w:hAnsi="宋体" w:eastAsia="宋体" w:cs="宋体"/>
          <w:bCs/>
          <w:szCs w:val="30"/>
          <w:lang w:val="en-US" w:eastAsia="zh-CN"/>
        </w:rPr>
        <w:t>国家发展改革委关于依法依规加强PPP项目投资和建设管理的通知</w:t>
      </w:r>
      <w:r>
        <w:rPr>
          <w:rFonts w:hint="eastAsia" w:ascii="宋体" w:hAnsi="宋体" w:eastAsia="宋体" w:cs="宋体"/>
          <w:bCs/>
          <w:szCs w:val="30"/>
        </w:rPr>
        <w:tab/>
      </w:r>
      <w:r>
        <w:rPr>
          <w:rFonts w:hint="eastAsia" w:ascii="宋体" w:hAnsi="宋体" w:eastAsia="宋体" w:cs="宋体"/>
          <w:bCs/>
          <w:szCs w:val="30"/>
        </w:rPr>
        <w:fldChar w:fldCharType="begin"/>
      </w:r>
      <w:r>
        <w:rPr>
          <w:rFonts w:hint="eastAsia" w:ascii="宋体" w:hAnsi="宋体" w:eastAsia="宋体" w:cs="宋体"/>
          <w:bCs/>
          <w:szCs w:val="30"/>
        </w:rPr>
        <w:instrText xml:space="preserve"> PAGEREF _Toc22047 </w:instrText>
      </w:r>
      <w:r>
        <w:rPr>
          <w:rFonts w:hint="eastAsia" w:ascii="宋体" w:hAnsi="宋体" w:eastAsia="宋体" w:cs="宋体"/>
          <w:bCs/>
          <w:szCs w:val="30"/>
        </w:rPr>
        <w:fldChar w:fldCharType="separate"/>
      </w:r>
      <w:r>
        <w:rPr>
          <w:rFonts w:hint="eastAsia" w:ascii="宋体" w:hAnsi="宋体" w:eastAsia="宋体" w:cs="宋体"/>
          <w:bCs/>
          <w:szCs w:val="30"/>
        </w:rPr>
        <w:t>203</w:t>
      </w:r>
      <w:r>
        <w:rPr>
          <w:rFonts w:hint="eastAsia" w:ascii="宋体" w:hAnsi="宋体" w:eastAsia="宋体" w:cs="宋体"/>
          <w:bCs/>
          <w:szCs w:val="30"/>
        </w:rPr>
        <w:fldChar w:fldCharType="end"/>
      </w:r>
      <w:r>
        <w:rPr>
          <w:rFonts w:hint="eastAsia" w:ascii="宋体" w:hAnsi="宋体" w:eastAsia="宋体" w:cs="宋体"/>
          <w:bCs/>
          <w:szCs w:val="30"/>
        </w:rPr>
        <w:fldChar w:fldCharType="end"/>
      </w:r>
    </w:p>
    <w:p>
      <w:pPr>
        <w:pStyle w:val="18"/>
        <w:tabs>
          <w:tab w:val="right" w:leader="dot" w:pos="8306"/>
          <w:tab w:val="clear" w:pos="8296"/>
        </w:tabs>
        <w:rPr>
          <w:rFonts w:hint="eastAsia" w:ascii="宋体" w:hAnsi="宋体" w:eastAsia="宋体" w:cs="宋体"/>
          <w:bCs/>
          <w:szCs w:val="30"/>
          <w:lang w:val="en-US" w:eastAsia="zh-CN"/>
        </w:rPr>
      </w:pPr>
      <w:r>
        <w:rPr>
          <w:rFonts w:hint="eastAsia" w:ascii="宋体" w:hAnsi="宋体" w:eastAsia="宋体" w:cs="宋体"/>
          <w:bCs/>
          <w:szCs w:val="30"/>
          <w:lang w:val="en-US" w:eastAsia="zh-CN"/>
        </w:rPr>
        <w:fldChar w:fldCharType="begin"/>
      </w:r>
      <w:r>
        <w:rPr>
          <w:rFonts w:hint="eastAsia" w:ascii="宋体" w:hAnsi="宋体" w:eastAsia="宋体" w:cs="宋体"/>
          <w:bCs/>
          <w:szCs w:val="30"/>
          <w:lang w:val="en-US" w:eastAsia="zh-CN"/>
        </w:rPr>
        <w:instrText xml:space="preserve"> HYPERLINK \l _Toc28798 </w:instrText>
      </w:r>
      <w:r>
        <w:rPr>
          <w:rFonts w:hint="eastAsia" w:ascii="宋体" w:hAnsi="宋体" w:eastAsia="宋体" w:cs="宋体"/>
          <w:bCs/>
          <w:szCs w:val="30"/>
          <w:lang w:val="en-US" w:eastAsia="zh-CN"/>
        </w:rPr>
        <w:fldChar w:fldCharType="separate"/>
      </w:r>
      <w:r>
        <w:rPr>
          <w:rFonts w:hint="eastAsia" w:ascii="宋体" w:hAnsi="宋体" w:eastAsia="宋体" w:cs="宋体"/>
          <w:bCs/>
          <w:szCs w:val="30"/>
          <w:lang w:val="en-US" w:eastAsia="zh-CN"/>
        </w:rPr>
        <w:t>发改投资规〔2019〕1098号</w:t>
      </w:r>
      <w:r>
        <w:rPr>
          <w:rFonts w:hint="eastAsia" w:ascii="宋体" w:hAnsi="宋体" w:eastAsia="宋体" w:cs="宋体"/>
          <w:bCs/>
          <w:szCs w:val="30"/>
          <w:lang w:val="en-US" w:eastAsia="zh-CN"/>
        </w:rPr>
        <w:tab/>
      </w:r>
      <w:r>
        <w:rPr>
          <w:rFonts w:hint="eastAsia" w:ascii="宋体" w:hAnsi="宋体" w:eastAsia="宋体" w:cs="宋体"/>
          <w:bCs/>
          <w:szCs w:val="30"/>
          <w:lang w:val="en-US" w:eastAsia="zh-CN"/>
        </w:rPr>
        <w:fldChar w:fldCharType="begin"/>
      </w:r>
      <w:r>
        <w:rPr>
          <w:rFonts w:hint="eastAsia" w:ascii="宋体" w:hAnsi="宋体" w:eastAsia="宋体" w:cs="宋体"/>
          <w:bCs/>
          <w:szCs w:val="30"/>
          <w:lang w:val="en-US" w:eastAsia="zh-CN"/>
        </w:rPr>
        <w:instrText xml:space="preserve"> PAGEREF _Toc28798 </w:instrText>
      </w:r>
      <w:r>
        <w:rPr>
          <w:rFonts w:hint="eastAsia" w:ascii="宋体" w:hAnsi="宋体" w:eastAsia="宋体" w:cs="宋体"/>
          <w:bCs/>
          <w:szCs w:val="30"/>
          <w:lang w:val="en-US" w:eastAsia="zh-CN"/>
        </w:rPr>
        <w:fldChar w:fldCharType="separate"/>
      </w:r>
      <w:r>
        <w:rPr>
          <w:rFonts w:hint="eastAsia" w:ascii="宋体" w:hAnsi="宋体" w:eastAsia="宋体" w:cs="宋体"/>
          <w:bCs/>
          <w:szCs w:val="30"/>
          <w:lang w:val="en-US" w:eastAsia="zh-CN"/>
        </w:rPr>
        <w:t>203</w:t>
      </w:r>
      <w:r>
        <w:rPr>
          <w:rFonts w:hint="eastAsia" w:ascii="宋体" w:hAnsi="宋体" w:eastAsia="宋体" w:cs="宋体"/>
          <w:bCs/>
          <w:szCs w:val="30"/>
          <w:lang w:val="en-US" w:eastAsia="zh-CN"/>
        </w:rPr>
        <w:fldChar w:fldCharType="end"/>
      </w:r>
      <w:r>
        <w:rPr>
          <w:rFonts w:hint="eastAsia" w:ascii="宋体" w:hAnsi="宋体" w:eastAsia="宋体" w:cs="宋体"/>
          <w:bCs/>
          <w:szCs w:val="30"/>
          <w:lang w:val="en-US" w:eastAsia="zh-CN"/>
        </w:rPr>
        <w:fldChar w:fldCharType="end"/>
      </w:r>
    </w:p>
    <w:p>
      <w:pPr>
        <w:pStyle w:val="18"/>
        <w:tabs>
          <w:tab w:val="right" w:leader="dot" w:pos="8306"/>
          <w:tab w:val="clear" w:pos="8296"/>
        </w:tabs>
        <w:rPr>
          <w:rFonts w:hint="eastAsia" w:ascii="宋体" w:hAnsi="宋体" w:eastAsia="宋体" w:cs="宋体"/>
          <w:bCs/>
          <w:szCs w:val="30"/>
          <w:lang w:val="en-US" w:eastAsia="zh-CN"/>
        </w:rPr>
      </w:pPr>
      <w:r>
        <w:rPr>
          <w:rFonts w:hint="eastAsia" w:ascii="宋体" w:hAnsi="宋体" w:eastAsia="宋体" w:cs="宋体"/>
          <w:bCs/>
          <w:szCs w:val="30"/>
          <w:lang w:val="en-US" w:eastAsia="zh-CN"/>
        </w:rPr>
        <w:t>32.</w:t>
      </w:r>
      <w:r>
        <w:rPr>
          <w:rFonts w:hint="eastAsia" w:ascii="宋体" w:hAnsi="宋体" w:eastAsia="宋体" w:cs="宋体"/>
          <w:bCs/>
          <w:szCs w:val="30"/>
          <w:lang w:val="en-US" w:eastAsia="zh-CN"/>
        </w:rPr>
        <w:fldChar w:fldCharType="begin"/>
      </w:r>
      <w:r>
        <w:rPr>
          <w:rFonts w:hint="eastAsia" w:ascii="宋体" w:hAnsi="宋体" w:eastAsia="宋体" w:cs="宋体"/>
          <w:bCs/>
          <w:szCs w:val="30"/>
          <w:lang w:val="en-US" w:eastAsia="zh-CN"/>
        </w:rPr>
        <w:instrText xml:space="preserve"> HYPERLINK \l _Toc1212 </w:instrText>
      </w:r>
      <w:r>
        <w:rPr>
          <w:rFonts w:hint="eastAsia" w:ascii="宋体" w:hAnsi="宋体" w:eastAsia="宋体" w:cs="宋体"/>
          <w:bCs/>
          <w:szCs w:val="30"/>
          <w:lang w:val="en-US" w:eastAsia="zh-CN"/>
        </w:rPr>
        <w:fldChar w:fldCharType="separate"/>
      </w:r>
      <w:r>
        <w:rPr>
          <w:rFonts w:hint="eastAsia" w:ascii="宋体" w:hAnsi="宋体" w:eastAsia="宋体" w:cs="宋体"/>
          <w:bCs/>
          <w:szCs w:val="30"/>
          <w:lang w:val="en-US" w:eastAsia="zh-CN"/>
        </w:rPr>
        <w:t>关于印发《加快完善市场主体退出制度改革方案》的通知</w:t>
      </w:r>
      <w:r>
        <w:rPr>
          <w:rFonts w:hint="eastAsia" w:ascii="宋体" w:hAnsi="宋体" w:eastAsia="宋体" w:cs="宋体"/>
          <w:bCs/>
          <w:szCs w:val="30"/>
          <w:lang w:val="en-US" w:eastAsia="zh-CN"/>
        </w:rPr>
        <w:t xml:space="preserve"> </w:t>
      </w:r>
    </w:p>
    <w:p>
      <w:pPr>
        <w:pStyle w:val="18"/>
        <w:tabs>
          <w:tab w:val="right" w:leader="dot" w:pos="8306"/>
          <w:tab w:val="clear" w:pos="8296"/>
        </w:tabs>
        <w:rPr>
          <w:rFonts w:hint="eastAsia" w:ascii="宋体" w:hAnsi="宋体" w:eastAsia="宋体" w:cs="宋体"/>
          <w:bCs/>
          <w:szCs w:val="30"/>
          <w:lang w:val="en-US" w:eastAsia="zh-CN"/>
        </w:rPr>
      </w:pPr>
      <w:r>
        <w:rPr>
          <w:rFonts w:hint="eastAsia" w:ascii="宋体" w:hAnsi="宋体" w:eastAsia="宋体" w:cs="宋体"/>
          <w:bCs/>
          <w:szCs w:val="30"/>
          <w:lang w:val="en-US" w:eastAsia="zh-CN"/>
        </w:rPr>
        <w:t>发改财金〔2019〕1104号</w:t>
      </w:r>
      <w:r>
        <w:rPr>
          <w:rFonts w:hint="eastAsia" w:ascii="宋体" w:hAnsi="宋体" w:eastAsia="宋体" w:cs="宋体"/>
          <w:bCs/>
          <w:szCs w:val="30"/>
          <w:lang w:val="en-US" w:eastAsia="zh-CN"/>
        </w:rPr>
        <w:tab/>
      </w:r>
      <w:r>
        <w:rPr>
          <w:rFonts w:hint="eastAsia" w:ascii="宋体" w:hAnsi="宋体" w:eastAsia="宋体" w:cs="宋体"/>
          <w:bCs/>
          <w:szCs w:val="30"/>
          <w:lang w:val="en-US" w:eastAsia="zh-CN"/>
        </w:rPr>
        <w:fldChar w:fldCharType="begin"/>
      </w:r>
      <w:r>
        <w:rPr>
          <w:rFonts w:hint="eastAsia" w:ascii="宋体" w:hAnsi="宋体" w:eastAsia="宋体" w:cs="宋体"/>
          <w:bCs/>
          <w:szCs w:val="30"/>
          <w:lang w:val="en-US" w:eastAsia="zh-CN"/>
        </w:rPr>
        <w:instrText xml:space="preserve"> PAGEREF _Toc1212 </w:instrText>
      </w:r>
      <w:r>
        <w:rPr>
          <w:rFonts w:hint="eastAsia" w:ascii="宋体" w:hAnsi="宋体" w:eastAsia="宋体" w:cs="宋体"/>
          <w:bCs/>
          <w:szCs w:val="30"/>
          <w:lang w:val="en-US" w:eastAsia="zh-CN"/>
        </w:rPr>
        <w:fldChar w:fldCharType="separate"/>
      </w:r>
      <w:r>
        <w:rPr>
          <w:rFonts w:hint="eastAsia" w:ascii="宋体" w:hAnsi="宋体" w:eastAsia="宋体" w:cs="宋体"/>
          <w:bCs/>
          <w:szCs w:val="30"/>
          <w:lang w:val="en-US" w:eastAsia="zh-CN"/>
        </w:rPr>
        <w:t>206</w:t>
      </w:r>
      <w:r>
        <w:rPr>
          <w:rFonts w:hint="eastAsia" w:ascii="宋体" w:hAnsi="宋体" w:eastAsia="宋体" w:cs="宋体"/>
          <w:bCs/>
          <w:szCs w:val="30"/>
          <w:lang w:val="en-US" w:eastAsia="zh-CN"/>
        </w:rPr>
        <w:fldChar w:fldCharType="end"/>
      </w:r>
      <w:r>
        <w:rPr>
          <w:rFonts w:hint="eastAsia" w:ascii="宋体" w:hAnsi="宋体" w:eastAsia="宋体" w:cs="宋体"/>
          <w:bCs/>
          <w:szCs w:val="30"/>
          <w:lang w:val="en-US" w:eastAsia="zh-CN"/>
        </w:rPr>
        <w:fldChar w:fldCharType="end"/>
      </w:r>
    </w:p>
    <w:p>
      <w:pPr>
        <w:pStyle w:val="18"/>
        <w:tabs>
          <w:tab w:val="right" w:leader="dot" w:pos="8306"/>
          <w:tab w:val="clear" w:pos="8296"/>
        </w:tabs>
        <w:rPr>
          <w:rFonts w:hint="eastAsia" w:ascii="宋体" w:hAnsi="宋体" w:eastAsia="宋体" w:cs="宋体"/>
          <w:bCs/>
          <w:szCs w:val="30"/>
          <w:lang w:val="en-US" w:eastAsia="zh-CN"/>
        </w:rPr>
      </w:pPr>
      <w:r>
        <w:rPr>
          <w:rFonts w:hint="eastAsia" w:ascii="宋体" w:hAnsi="宋体" w:eastAsia="宋体" w:cs="宋体"/>
          <w:bCs/>
          <w:szCs w:val="30"/>
          <w:lang w:val="en-US" w:eastAsia="zh-CN"/>
        </w:rPr>
        <w:t>33.</w:t>
      </w:r>
      <w:r>
        <w:rPr>
          <w:rFonts w:hint="eastAsia" w:ascii="宋体" w:hAnsi="宋体" w:eastAsia="宋体" w:cs="宋体"/>
          <w:bCs/>
          <w:szCs w:val="30"/>
          <w:lang w:val="en-US" w:eastAsia="zh-CN"/>
        </w:rPr>
        <w:fldChar w:fldCharType="begin"/>
      </w:r>
      <w:r>
        <w:rPr>
          <w:rFonts w:hint="eastAsia" w:ascii="宋体" w:hAnsi="宋体" w:eastAsia="宋体" w:cs="宋体"/>
          <w:bCs/>
          <w:szCs w:val="30"/>
          <w:lang w:val="en-US" w:eastAsia="zh-CN"/>
        </w:rPr>
        <w:instrText xml:space="preserve"> HYPERLINK \l _Toc18047 </w:instrText>
      </w:r>
      <w:r>
        <w:rPr>
          <w:rFonts w:hint="eastAsia" w:ascii="宋体" w:hAnsi="宋体" w:eastAsia="宋体" w:cs="宋体"/>
          <w:bCs/>
          <w:szCs w:val="30"/>
          <w:lang w:val="en-US" w:eastAsia="zh-CN"/>
        </w:rPr>
        <w:fldChar w:fldCharType="separate"/>
      </w:r>
      <w:r>
        <w:rPr>
          <w:rFonts w:hint="eastAsia" w:ascii="宋体" w:hAnsi="宋体" w:eastAsia="宋体" w:cs="宋体"/>
          <w:bCs/>
          <w:szCs w:val="30"/>
          <w:lang w:val="en-US" w:eastAsia="zh-CN"/>
        </w:rPr>
        <w:t>关于继续实施全国中小企业股份转让系统挂牌公司</w:t>
      </w:r>
      <w:r>
        <w:rPr>
          <w:rFonts w:hint="eastAsia" w:ascii="宋体" w:hAnsi="宋体" w:eastAsia="宋体" w:cs="宋体"/>
          <w:bCs/>
          <w:szCs w:val="30"/>
          <w:lang w:val="en-US" w:eastAsia="zh-CN"/>
        </w:rPr>
        <w:t xml:space="preserve"> </w:t>
      </w:r>
      <w:r>
        <w:rPr>
          <w:rFonts w:hint="eastAsia" w:ascii="宋体" w:hAnsi="宋体" w:eastAsia="宋体" w:cs="宋体"/>
          <w:bCs/>
          <w:szCs w:val="30"/>
          <w:lang w:val="en-US" w:eastAsia="zh-CN"/>
        </w:rPr>
        <w:t>股息红利差别化个人所得税政策的公告</w:t>
      </w:r>
      <w:r>
        <w:rPr>
          <w:rFonts w:hint="eastAsia" w:ascii="宋体" w:hAnsi="宋体" w:eastAsia="宋体" w:cs="宋体"/>
          <w:bCs/>
          <w:szCs w:val="30"/>
          <w:lang w:val="en-US" w:eastAsia="zh-CN"/>
        </w:rPr>
        <w:fldChar w:fldCharType="end"/>
      </w:r>
    </w:p>
    <w:p>
      <w:pPr>
        <w:pStyle w:val="18"/>
        <w:tabs>
          <w:tab w:val="right" w:leader="dot" w:pos="8306"/>
          <w:tab w:val="clear" w:pos="8296"/>
        </w:tabs>
        <w:rPr>
          <w:rFonts w:hint="eastAsia" w:ascii="宋体" w:hAnsi="宋体" w:eastAsia="宋体" w:cs="宋体"/>
          <w:bCs/>
          <w:szCs w:val="30"/>
          <w:lang w:val="en-US" w:eastAsia="zh-CN"/>
        </w:rPr>
      </w:pPr>
      <w:r>
        <w:rPr>
          <w:rFonts w:hint="eastAsia" w:ascii="宋体" w:hAnsi="宋体" w:eastAsia="宋体" w:cs="宋体"/>
          <w:bCs/>
          <w:szCs w:val="30"/>
          <w:lang w:val="en-US" w:eastAsia="zh-CN"/>
        </w:rPr>
        <w:fldChar w:fldCharType="begin"/>
      </w:r>
      <w:r>
        <w:rPr>
          <w:rFonts w:hint="eastAsia" w:ascii="宋体" w:hAnsi="宋体" w:eastAsia="宋体" w:cs="宋体"/>
          <w:bCs/>
          <w:szCs w:val="30"/>
          <w:lang w:val="en-US" w:eastAsia="zh-CN"/>
        </w:rPr>
        <w:instrText xml:space="preserve"> HYPERLINK \l _Toc20142 </w:instrText>
      </w:r>
      <w:r>
        <w:rPr>
          <w:rFonts w:hint="eastAsia" w:ascii="宋体" w:hAnsi="宋体" w:eastAsia="宋体" w:cs="宋体"/>
          <w:bCs/>
          <w:szCs w:val="30"/>
          <w:lang w:val="en-US" w:eastAsia="zh-CN"/>
        </w:rPr>
        <w:fldChar w:fldCharType="separate"/>
      </w:r>
      <w:r>
        <w:rPr>
          <w:rFonts w:hint="eastAsia" w:ascii="宋体" w:hAnsi="宋体" w:eastAsia="宋体" w:cs="宋体"/>
          <w:bCs/>
          <w:szCs w:val="30"/>
          <w:lang w:val="en-US" w:eastAsia="zh-CN"/>
        </w:rPr>
        <w:t>财政部 税务总局 证监会公告2019年第78号</w:t>
      </w:r>
      <w:r>
        <w:rPr>
          <w:rFonts w:hint="eastAsia" w:ascii="宋体" w:hAnsi="宋体" w:eastAsia="宋体" w:cs="宋体"/>
          <w:bCs/>
          <w:szCs w:val="30"/>
          <w:lang w:val="en-US" w:eastAsia="zh-CN"/>
        </w:rPr>
        <w:tab/>
      </w:r>
      <w:r>
        <w:rPr>
          <w:rFonts w:hint="eastAsia" w:ascii="宋体" w:hAnsi="宋体" w:eastAsia="宋体" w:cs="宋体"/>
          <w:bCs/>
          <w:szCs w:val="30"/>
          <w:lang w:val="en-US" w:eastAsia="zh-CN"/>
        </w:rPr>
        <w:fldChar w:fldCharType="begin"/>
      </w:r>
      <w:r>
        <w:rPr>
          <w:rFonts w:hint="eastAsia" w:ascii="宋体" w:hAnsi="宋体" w:eastAsia="宋体" w:cs="宋体"/>
          <w:bCs/>
          <w:szCs w:val="30"/>
          <w:lang w:val="en-US" w:eastAsia="zh-CN"/>
        </w:rPr>
        <w:instrText xml:space="preserve"> PAGEREF _Toc20142 </w:instrText>
      </w:r>
      <w:r>
        <w:rPr>
          <w:rFonts w:hint="eastAsia" w:ascii="宋体" w:hAnsi="宋体" w:eastAsia="宋体" w:cs="宋体"/>
          <w:bCs/>
          <w:szCs w:val="30"/>
          <w:lang w:val="en-US" w:eastAsia="zh-CN"/>
        </w:rPr>
        <w:fldChar w:fldCharType="separate"/>
      </w:r>
      <w:r>
        <w:rPr>
          <w:rFonts w:hint="eastAsia" w:ascii="宋体" w:hAnsi="宋体" w:eastAsia="宋体" w:cs="宋体"/>
          <w:bCs/>
          <w:szCs w:val="30"/>
          <w:lang w:val="en-US" w:eastAsia="zh-CN"/>
        </w:rPr>
        <w:t>217</w:t>
      </w:r>
      <w:r>
        <w:rPr>
          <w:rFonts w:hint="eastAsia" w:ascii="宋体" w:hAnsi="宋体" w:eastAsia="宋体" w:cs="宋体"/>
          <w:bCs/>
          <w:szCs w:val="30"/>
          <w:lang w:val="en-US" w:eastAsia="zh-CN"/>
        </w:rPr>
        <w:fldChar w:fldCharType="end"/>
      </w:r>
      <w:r>
        <w:rPr>
          <w:rFonts w:hint="eastAsia" w:ascii="宋体" w:hAnsi="宋体" w:eastAsia="宋体" w:cs="宋体"/>
          <w:bCs/>
          <w:szCs w:val="30"/>
          <w:lang w:val="en-US" w:eastAsia="zh-CN"/>
        </w:rPr>
        <w:fldChar w:fldCharType="end"/>
      </w:r>
    </w:p>
    <w:p>
      <w:pPr>
        <w:pStyle w:val="18"/>
        <w:tabs>
          <w:tab w:val="right" w:leader="dot" w:pos="8306"/>
          <w:tab w:val="clear" w:pos="8296"/>
        </w:tabs>
        <w:rPr>
          <w:rFonts w:hint="eastAsia" w:ascii="宋体" w:hAnsi="宋体" w:eastAsia="宋体" w:cs="宋体"/>
          <w:bCs/>
          <w:szCs w:val="30"/>
          <w:lang w:val="en-US" w:eastAsia="zh-CN"/>
        </w:rPr>
      </w:pPr>
      <w:r>
        <w:rPr>
          <w:rFonts w:hint="eastAsia" w:ascii="宋体" w:hAnsi="宋体" w:eastAsia="宋体" w:cs="宋体"/>
          <w:bCs/>
          <w:szCs w:val="30"/>
          <w:lang w:val="en-US" w:eastAsia="zh-CN"/>
        </w:rPr>
        <w:t>34.</w:t>
      </w:r>
      <w:r>
        <w:rPr>
          <w:rFonts w:hint="eastAsia" w:ascii="宋体" w:hAnsi="宋体" w:eastAsia="宋体" w:cs="宋体"/>
          <w:bCs/>
          <w:szCs w:val="30"/>
          <w:lang w:val="en-US" w:eastAsia="zh-CN"/>
        </w:rPr>
        <w:fldChar w:fldCharType="begin"/>
      </w:r>
      <w:r>
        <w:rPr>
          <w:rFonts w:hint="eastAsia" w:ascii="宋体" w:hAnsi="宋体" w:eastAsia="宋体" w:cs="宋体"/>
          <w:bCs/>
          <w:szCs w:val="30"/>
          <w:lang w:val="en-US" w:eastAsia="zh-CN"/>
        </w:rPr>
        <w:instrText xml:space="preserve"> HYPERLINK \l _Toc13036 </w:instrText>
      </w:r>
      <w:r>
        <w:rPr>
          <w:rFonts w:hint="eastAsia" w:ascii="宋体" w:hAnsi="宋体" w:eastAsia="宋体" w:cs="宋体"/>
          <w:bCs/>
          <w:szCs w:val="30"/>
          <w:lang w:val="en-US" w:eastAsia="zh-CN"/>
        </w:rPr>
        <w:fldChar w:fldCharType="separate"/>
      </w:r>
      <w:r>
        <w:rPr>
          <w:rFonts w:hint="eastAsia" w:ascii="宋体" w:hAnsi="宋体" w:eastAsia="宋体" w:cs="宋体"/>
          <w:bCs/>
          <w:szCs w:val="30"/>
          <w:lang w:val="en-US" w:eastAsia="zh-CN"/>
        </w:rPr>
        <w:t>关于开展财政支持深化民营和小微企业金融</w:t>
      </w:r>
      <w:r>
        <w:rPr>
          <w:rFonts w:hint="eastAsia" w:ascii="宋体" w:hAnsi="宋体" w:eastAsia="宋体" w:cs="宋体"/>
          <w:bCs/>
          <w:szCs w:val="30"/>
          <w:lang w:val="en-US" w:eastAsia="zh-CN"/>
        </w:rPr>
        <w:t xml:space="preserve"> </w:t>
      </w:r>
      <w:r>
        <w:rPr>
          <w:rFonts w:hint="eastAsia" w:ascii="宋体" w:hAnsi="宋体" w:eastAsia="宋体" w:cs="宋体"/>
          <w:bCs/>
          <w:szCs w:val="30"/>
          <w:lang w:val="en-US" w:eastAsia="zh-CN"/>
        </w:rPr>
        <w:t>服务综合改革试点城市工作的通知</w:t>
      </w:r>
      <w:r>
        <w:rPr>
          <w:rFonts w:hint="eastAsia" w:ascii="宋体" w:hAnsi="宋体" w:eastAsia="宋体" w:cs="宋体"/>
          <w:bCs/>
          <w:szCs w:val="30"/>
          <w:lang w:val="en-US" w:eastAsia="zh-CN"/>
        </w:rPr>
        <w:tab/>
      </w:r>
      <w:r>
        <w:rPr>
          <w:rFonts w:hint="eastAsia" w:ascii="宋体" w:hAnsi="宋体" w:eastAsia="宋体" w:cs="宋体"/>
          <w:bCs/>
          <w:szCs w:val="30"/>
          <w:lang w:val="en-US" w:eastAsia="zh-CN"/>
        </w:rPr>
        <w:fldChar w:fldCharType="begin"/>
      </w:r>
      <w:r>
        <w:rPr>
          <w:rFonts w:hint="eastAsia" w:ascii="宋体" w:hAnsi="宋体" w:eastAsia="宋体" w:cs="宋体"/>
          <w:bCs/>
          <w:szCs w:val="30"/>
          <w:lang w:val="en-US" w:eastAsia="zh-CN"/>
        </w:rPr>
        <w:instrText xml:space="preserve"> PAGEREF _Toc13036 </w:instrText>
      </w:r>
      <w:r>
        <w:rPr>
          <w:rFonts w:hint="eastAsia" w:ascii="宋体" w:hAnsi="宋体" w:eastAsia="宋体" w:cs="宋体"/>
          <w:bCs/>
          <w:szCs w:val="30"/>
          <w:lang w:val="en-US" w:eastAsia="zh-CN"/>
        </w:rPr>
        <w:fldChar w:fldCharType="separate"/>
      </w:r>
      <w:r>
        <w:rPr>
          <w:rFonts w:hint="eastAsia" w:ascii="宋体" w:hAnsi="宋体" w:eastAsia="宋体" w:cs="宋体"/>
          <w:bCs/>
          <w:szCs w:val="30"/>
          <w:lang w:val="en-US" w:eastAsia="zh-CN"/>
        </w:rPr>
        <w:t>219</w:t>
      </w:r>
      <w:r>
        <w:rPr>
          <w:rFonts w:hint="eastAsia" w:ascii="宋体" w:hAnsi="宋体" w:eastAsia="宋体" w:cs="宋体"/>
          <w:bCs/>
          <w:szCs w:val="30"/>
          <w:lang w:val="en-US" w:eastAsia="zh-CN"/>
        </w:rPr>
        <w:fldChar w:fldCharType="end"/>
      </w:r>
      <w:r>
        <w:rPr>
          <w:rFonts w:hint="eastAsia" w:ascii="宋体" w:hAnsi="宋体" w:eastAsia="宋体" w:cs="宋体"/>
          <w:bCs/>
          <w:szCs w:val="30"/>
          <w:lang w:val="en-US" w:eastAsia="zh-CN"/>
        </w:rPr>
        <w:fldChar w:fldCharType="end"/>
      </w:r>
    </w:p>
    <w:p>
      <w:pPr>
        <w:pStyle w:val="18"/>
        <w:tabs>
          <w:tab w:val="right" w:leader="dot" w:pos="8306"/>
          <w:tab w:val="clear" w:pos="8296"/>
        </w:tabs>
        <w:rPr>
          <w:rFonts w:hint="eastAsia" w:ascii="宋体" w:hAnsi="宋体" w:eastAsia="宋体" w:cs="宋体"/>
          <w:bCs/>
          <w:szCs w:val="30"/>
          <w:lang w:val="en-US" w:eastAsia="zh-CN"/>
        </w:rPr>
      </w:pPr>
      <w:r>
        <w:rPr>
          <w:rFonts w:hint="eastAsia" w:ascii="宋体" w:hAnsi="宋体" w:eastAsia="宋体" w:cs="宋体"/>
          <w:bCs/>
          <w:szCs w:val="30"/>
          <w:lang w:val="en-US" w:eastAsia="zh-CN"/>
        </w:rPr>
        <w:fldChar w:fldCharType="begin"/>
      </w:r>
      <w:r>
        <w:rPr>
          <w:rFonts w:hint="eastAsia" w:ascii="宋体" w:hAnsi="宋体" w:eastAsia="宋体" w:cs="宋体"/>
          <w:bCs/>
          <w:szCs w:val="30"/>
          <w:lang w:val="en-US" w:eastAsia="zh-CN"/>
        </w:rPr>
        <w:instrText xml:space="preserve"> HYPERLINK \l _Toc8262 </w:instrText>
      </w:r>
      <w:r>
        <w:rPr>
          <w:rFonts w:hint="eastAsia" w:ascii="宋体" w:hAnsi="宋体" w:eastAsia="宋体" w:cs="宋体"/>
          <w:bCs/>
          <w:szCs w:val="30"/>
          <w:lang w:val="en-US" w:eastAsia="zh-CN"/>
        </w:rPr>
        <w:fldChar w:fldCharType="separate"/>
      </w:r>
      <w:r>
        <w:rPr>
          <w:rFonts w:hint="eastAsia" w:ascii="宋体" w:hAnsi="宋体" w:eastAsia="宋体" w:cs="宋体"/>
          <w:bCs/>
          <w:szCs w:val="30"/>
          <w:lang w:val="en-US" w:eastAsia="zh-CN"/>
        </w:rPr>
        <w:t>财金〔2019〕62号</w:t>
      </w:r>
      <w:r>
        <w:rPr>
          <w:rFonts w:hint="eastAsia" w:ascii="宋体" w:hAnsi="宋体" w:eastAsia="宋体" w:cs="宋体"/>
          <w:bCs/>
          <w:szCs w:val="30"/>
          <w:lang w:val="en-US" w:eastAsia="zh-CN"/>
        </w:rPr>
        <w:tab/>
      </w:r>
      <w:r>
        <w:rPr>
          <w:rFonts w:hint="eastAsia" w:ascii="宋体" w:hAnsi="宋体" w:eastAsia="宋体" w:cs="宋体"/>
          <w:bCs/>
          <w:szCs w:val="30"/>
          <w:lang w:val="en-US" w:eastAsia="zh-CN"/>
        </w:rPr>
        <w:fldChar w:fldCharType="begin"/>
      </w:r>
      <w:r>
        <w:rPr>
          <w:rFonts w:hint="eastAsia" w:ascii="宋体" w:hAnsi="宋体" w:eastAsia="宋体" w:cs="宋体"/>
          <w:bCs/>
          <w:szCs w:val="30"/>
          <w:lang w:val="en-US" w:eastAsia="zh-CN"/>
        </w:rPr>
        <w:instrText xml:space="preserve"> PAGEREF _Toc8262 </w:instrText>
      </w:r>
      <w:r>
        <w:rPr>
          <w:rFonts w:hint="eastAsia" w:ascii="宋体" w:hAnsi="宋体" w:eastAsia="宋体" w:cs="宋体"/>
          <w:bCs/>
          <w:szCs w:val="30"/>
          <w:lang w:val="en-US" w:eastAsia="zh-CN"/>
        </w:rPr>
        <w:fldChar w:fldCharType="separate"/>
      </w:r>
      <w:r>
        <w:rPr>
          <w:rFonts w:hint="eastAsia" w:ascii="宋体" w:hAnsi="宋体" w:eastAsia="宋体" w:cs="宋体"/>
          <w:bCs/>
          <w:szCs w:val="30"/>
          <w:lang w:val="en-US" w:eastAsia="zh-CN"/>
        </w:rPr>
        <w:t>219</w:t>
      </w:r>
      <w:r>
        <w:rPr>
          <w:rFonts w:hint="eastAsia" w:ascii="宋体" w:hAnsi="宋体" w:eastAsia="宋体" w:cs="宋体"/>
          <w:bCs/>
          <w:szCs w:val="30"/>
          <w:lang w:val="en-US" w:eastAsia="zh-CN"/>
        </w:rPr>
        <w:fldChar w:fldCharType="end"/>
      </w:r>
      <w:r>
        <w:rPr>
          <w:rFonts w:hint="eastAsia" w:ascii="宋体" w:hAnsi="宋体" w:eastAsia="宋体" w:cs="宋体"/>
          <w:bCs/>
          <w:szCs w:val="30"/>
          <w:lang w:val="en-US" w:eastAsia="zh-CN"/>
        </w:rPr>
        <w:fldChar w:fldCharType="end"/>
      </w:r>
    </w:p>
    <w:p>
      <w:pPr>
        <w:pStyle w:val="18"/>
        <w:tabs>
          <w:tab w:val="right" w:leader="dot" w:pos="8306"/>
          <w:tab w:val="clear" w:pos="8296"/>
        </w:tabs>
        <w:rPr>
          <w:rFonts w:hint="eastAsia" w:ascii="宋体" w:hAnsi="宋体" w:eastAsia="宋体" w:cs="宋体"/>
          <w:bCs/>
          <w:szCs w:val="30"/>
          <w:lang w:val="en-US" w:eastAsia="zh-CN"/>
        </w:rPr>
      </w:pPr>
      <w:r>
        <w:rPr>
          <w:rFonts w:hint="eastAsia" w:ascii="宋体" w:hAnsi="宋体" w:eastAsia="宋体" w:cs="宋体"/>
          <w:bCs/>
          <w:szCs w:val="30"/>
          <w:lang w:val="en-US" w:eastAsia="zh-CN"/>
        </w:rPr>
        <w:t>35.</w:t>
      </w:r>
      <w:r>
        <w:rPr>
          <w:rFonts w:hint="eastAsia" w:ascii="宋体" w:hAnsi="宋体" w:eastAsia="宋体" w:cs="宋体"/>
          <w:bCs/>
          <w:szCs w:val="30"/>
          <w:lang w:val="en-US" w:eastAsia="zh-CN"/>
        </w:rPr>
        <w:fldChar w:fldCharType="begin"/>
      </w:r>
      <w:r>
        <w:rPr>
          <w:rFonts w:hint="eastAsia" w:ascii="宋体" w:hAnsi="宋体" w:eastAsia="宋体" w:cs="宋体"/>
          <w:bCs/>
          <w:szCs w:val="30"/>
          <w:lang w:val="en-US" w:eastAsia="zh-CN"/>
        </w:rPr>
        <w:instrText xml:space="preserve"> HYPERLINK \l _Toc6314 </w:instrText>
      </w:r>
      <w:r>
        <w:rPr>
          <w:rFonts w:hint="eastAsia" w:ascii="宋体" w:hAnsi="宋体" w:eastAsia="宋体" w:cs="宋体"/>
          <w:bCs/>
          <w:szCs w:val="30"/>
          <w:lang w:val="en-US" w:eastAsia="zh-CN"/>
        </w:rPr>
        <w:fldChar w:fldCharType="separate"/>
      </w:r>
      <w:r>
        <w:rPr>
          <w:rFonts w:hint="eastAsia" w:ascii="宋体" w:hAnsi="宋体" w:eastAsia="宋体" w:cs="宋体"/>
          <w:bCs/>
          <w:szCs w:val="30"/>
          <w:lang w:val="en-US" w:eastAsia="zh-CN"/>
        </w:rPr>
        <w:t>关于2019年度国家小型微型企业创业创新示范基地名单的公示</w:t>
      </w:r>
      <w:r>
        <w:rPr>
          <w:rFonts w:hint="eastAsia" w:ascii="宋体" w:hAnsi="宋体" w:eastAsia="宋体" w:cs="宋体"/>
          <w:bCs/>
          <w:szCs w:val="30"/>
          <w:lang w:val="en-US" w:eastAsia="zh-CN"/>
        </w:rPr>
        <w:tab/>
      </w:r>
      <w:r>
        <w:rPr>
          <w:rFonts w:hint="eastAsia" w:ascii="宋体" w:hAnsi="宋体" w:eastAsia="宋体" w:cs="宋体"/>
          <w:bCs/>
          <w:szCs w:val="30"/>
          <w:lang w:val="en-US" w:eastAsia="zh-CN"/>
        </w:rPr>
        <w:fldChar w:fldCharType="begin"/>
      </w:r>
      <w:r>
        <w:rPr>
          <w:rFonts w:hint="eastAsia" w:ascii="宋体" w:hAnsi="宋体" w:eastAsia="宋体" w:cs="宋体"/>
          <w:bCs/>
          <w:szCs w:val="30"/>
          <w:lang w:val="en-US" w:eastAsia="zh-CN"/>
        </w:rPr>
        <w:instrText xml:space="preserve"> PAGEREF _Toc6314 </w:instrText>
      </w:r>
      <w:r>
        <w:rPr>
          <w:rFonts w:hint="eastAsia" w:ascii="宋体" w:hAnsi="宋体" w:eastAsia="宋体" w:cs="宋体"/>
          <w:bCs/>
          <w:szCs w:val="30"/>
          <w:lang w:val="en-US" w:eastAsia="zh-CN"/>
        </w:rPr>
        <w:fldChar w:fldCharType="separate"/>
      </w:r>
      <w:r>
        <w:rPr>
          <w:rFonts w:hint="eastAsia" w:ascii="宋体" w:hAnsi="宋体" w:eastAsia="宋体" w:cs="宋体"/>
          <w:bCs/>
          <w:szCs w:val="30"/>
          <w:lang w:val="en-US" w:eastAsia="zh-CN"/>
        </w:rPr>
        <w:t>223</w:t>
      </w:r>
      <w:r>
        <w:rPr>
          <w:rFonts w:hint="eastAsia" w:ascii="宋体" w:hAnsi="宋体" w:eastAsia="宋体" w:cs="宋体"/>
          <w:bCs/>
          <w:szCs w:val="30"/>
          <w:lang w:val="en-US" w:eastAsia="zh-CN"/>
        </w:rPr>
        <w:fldChar w:fldCharType="end"/>
      </w:r>
      <w:r>
        <w:rPr>
          <w:rFonts w:hint="eastAsia" w:ascii="宋体" w:hAnsi="宋体" w:eastAsia="宋体" w:cs="宋体"/>
          <w:bCs/>
          <w:szCs w:val="30"/>
          <w:lang w:val="en-US" w:eastAsia="zh-CN"/>
        </w:rPr>
        <w:fldChar w:fldCharType="end"/>
      </w:r>
    </w:p>
    <w:p>
      <w:pPr>
        <w:pStyle w:val="18"/>
        <w:tabs>
          <w:tab w:val="right" w:leader="dot" w:pos="8306"/>
          <w:tab w:val="clear" w:pos="8296"/>
        </w:tabs>
        <w:rPr>
          <w:rFonts w:hint="eastAsia" w:ascii="宋体" w:hAnsi="宋体" w:eastAsia="宋体" w:cs="宋体"/>
          <w:bCs w:val="0"/>
          <w:kern w:val="0"/>
          <w:szCs w:val="30"/>
          <w:lang w:val="en-US" w:eastAsia="zh-CN" w:bidi="ar"/>
        </w:rPr>
      </w:pPr>
      <w:r>
        <w:rPr>
          <w:rFonts w:hint="eastAsia" w:ascii="宋体" w:hAnsi="宋体" w:eastAsia="宋体" w:cs="宋体"/>
          <w:bCs/>
          <w:szCs w:val="30"/>
          <w:lang w:val="en-US" w:eastAsia="zh-CN"/>
        </w:rPr>
        <w:t>36.</w:t>
      </w:r>
      <w:r>
        <w:rPr>
          <w:rFonts w:hint="eastAsia" w:ascii="宋体" w:hAnsi="宋体" w:eastAsia="宋体" w:cs="宋体"/>
          <w:bCs/>
          <w:szCs w:val="30"/>
          <w:lang w:val="en-US" w:eastAsia="zh-CN"/>
        </w:rPr>
        <w:fldChar w:fldCharType="begin"/>
      </w:r>
      <w:r>
        <w:rPr>
          <w:rFonts w:hint="eastAsia" w:ascii="宋体" w:hAnsi="宋体" w:eastAsia="宋体" w:cs="宋体"/>
          <w:bCs/>
          <w:szCs w:val="30"/>
          <w:lang w:val="en-US" w:eastAsia="zh-CN"/>
        </w:rPr>
        <w:instrText xml:space="preserve"> HYPERLINK \l _Toc529 </w:instrText>
      </w:r>
      <w:r>
        <w:rPr>
          <w:rFonts w:hint="eastAsia" w:ascii="宋体" w:hAnsi="宋体" w:eastAsia="宋体" w:cs="宋体"/>
          <w:bCs/>
          <w:szCs w:val="30"/>
          <w:lang w:val="en-US" w:eastAsia="zh-CN"/>
        </w:rPr>
        <w:fldChar w:fldCharType="separate"/>
      </w:r>
      <w:r>
        <w:rPr>
          <w:rFonts w:hint="eastAsia" w:ascii="宋体" w:hAnsi="宋体" w:eastAsia="宋体" w:cs="宋体"/>
          <w:bCs/>
          <w:szCs w:val="30"/>
          <w:lang w:val="en-US" w:eastAsia="zh-CN"/>
        </w:rPr>
        <w:t>市场监管总局关于进一步优化国家企业信用信息公示系统的通知</w:t>
      </w:r>
      <w:r>
        <w:rPr>
          <w:rFonts w:hint="eastAsia" w:ascii="宋体" w:hAnsi="宋体" w:eastAsia="宋体" w:cs="宋体"/>
          <w:bCs/>
          <w:szCs w:val="30"/>
          <w:lang w:val="en-US" w:eastAsia="zh-CN"/>
        </w:rPr>
        <w:tab/>
      </w:r>
      <w:r>
        <w:rPr>
          <w:rFonts w:hint="eastAsia" w:ascii="宋体" w:hAnsi="宋体" w:eastAsia="宋体" w:cs="宋体"/>
          <w:bCs/>
          <w:szCs w:val="30"/>
          <w:lang w:val="en-US" w:eastAsia="zh-CN"/>
        </w:rPr>
        <w:fldChar w:fldCharType="begin"/>
      </w:r>
      <w:r>
        <w:rPr>
          <w:rFonts w:hint="eastAsia" w:ascii="宋体" w:hAnsi="宋体" w:eastAsia="宋体" w:cs="宋体"/>
          <w:bCs/>
          <w:szCs w:val="30"/>
          <w:lang w:val="en-US" w:eastAsia="zh-CN"/>
        </w:rPr>
        <w:instrText xml:space="preserve"> PAGEREF _Toc529 </w:instrText>
      </w:r>
      <w:r>
        <w:rPr>
          <w:rFonts w:hint="eastAsia" w:ascii="宋体" w:hAnsi="宋体" w:eastAsia="宋体" w:cs="宋体"/>
          <w:bCs/>
          <w:szCs w:val="30"/>
          <w:lang w:val="en-US" w:eastAsia="zh-CN"/>
        </w:rPr>
        <w:fldChar w:fldCharType="separate"/>
      </w:r>
      <w:r>
        <w:rPr>
          <w:rFonts w:hint="eastAsia" w:ascii="宋体" w:hAnsi="宋体" w:eastAsia="宋体" w:cs="宋体"/>
          <w:bCs/>
          <w:szCs w:val="30"/>
          <w:lang w:val="en-US" w:eastAsia="zh-CN"/>
        </w:rPr>
        <w:t>223</w:t>
      </w:r>
      <w:r>
        <w:rPr>
          <w:rFonts w:hint="eastAsia" w:ascii="宋体" w:hAnsi="宋体" w:eastAsia="宋体" w:cs="宋体"/>
          <w:bCs/>
          <w:szCs w:val="30"/>
          <w:lang w:val="en-US" w:eastAsia="zh-CN"/>
        </w:rPr>
        <w:fldChar w:fldCharType="end"/>
      </w:r>
      <w:r>
        <w:rPr>
          <w:rFonts w:hint="eastAsia" w:ascii="宋体" w:hAnsi="宋体" w:eastAsia="宋体" w:cs="宋体"/>
          <w:bCs/>
          <w:szCs w:val="30"/>
          <w:lang w:val="en-US" w:eastAsia="zh-CN"/>
        </w:rPr>
        <w:fldChar w:fldCharType="end"/>
      </w:r>
    </w:p>
    <w:p>
      <w:pPr>
        <w:pStyle w:val="18"/>
        <w:tabs>
          <w:tab w:val="right" w:leader="dot" w:pos="8306"/>
          <w:tab w:val="clear" w:pos="8296"/>
        </w:tabs>
        <w:rPr>
          <w:rFonts w:hint="eastAsia" w:ascii="宋体" w:hAnsi="宋体" w:eastAsia="宋体" w:cs="宋体"/>
          <w:bCs w:val="0"/>
          <w:kern w:val="0"/>
          <w:szCs w:val="30"/>
          <w:lang w:val="en-US" w:eastAsia="zh-CN" w:bidi="ar"/>
        </w:rPr>
      </w:pP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HYPERLINK \l _Toc21074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国市监信〔2019〕142号</w:t>
      </w:r>
      <w:r>
        <w:rPr>
          <w:rFonts w:hint="eastAsia" w:ascii="宋体" w:hAnsi="宋体" w:eastAsia="宋体" w:cs="宋体"/>
          <w:bCs w:val="0"/>
          <w:kern w:val="0"/>
          <w:szCs w:val="30"/>
          <w:lang w:val="en-US" w:eastAsia="zh-CN" w:bidi="ar"/>
        </w:rPr>
        <w:tab/>
      </w: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PAGEREF _Toc21074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223</w:t>
      </w:r>
      <w:r>
        <w:rPr>
          <w:rFonts w:hint="eastAsia" w:ascii="宋体" w:hAnsi="宋体" w:eastAsia="宋体" w:cs="宋体"/>
          <w:bCs w:val="0"/>
          <w:kern w:val="0"/>
          <w:szCs w:val="30"/>
          <w:lang w:val="en-US" w:eastAsia="zh-CN" w:bidi="ar"/>
        </w:rPr>
        <w:fldChar w:fldCharType="end"/>
      </w:r>
      <w:r>
        <w:rPr>
          <w:rFonts w:hint="eastAsia" w:ascii="宋体" w:hAnsi="宋体" w:eastAsia="宋体" w:cs="宋体"/>
          <w:bCs w:val="0"/>
          <w:kern w:val="0"/>
          <w:szCs w:val="30"/>
          <w:lang w:val="en-US" w:eastAsia="zh-CN" w:bidi="ar"/>
        </w:rPr>
        <w:fldChar w:fldCharType="end"/>
      </w:r>
    </w:p>
    <w:p>
      <w:pPr>
        <w:pStyle w:val="18"/>
        <w:tabs>
          <w:tab w:val="right" w:leader="dot" w:pos="8306"/>
          <w:tab w:val="clear" w:pos="8296"/>
        </w:tabs>
        <w:rPr>
          <w:rFonts w:hint="eastAsia" w:ascii="宋体" w:hAnsi="宋体" w:eastAsia="宋体" w:cs="宋体"/>
          <w:bCs w:val="0"/>
          <w:kern w:val="0"/>
          <w:szCs w:val="30"/>
          <w:lang w:val="en-US" w:eastAsia="zh-CN" w:bidi="ar"/>
        </w:rPr>
      </w:pPr>
      <w:r>
        <w:rPr>
          <w:rFonts w:hint="eastAsia" w:ascii="宋体" w:hAnsi="宋体" w:eastAsia="宋体" w:cs="宋体"/>
          <w:bCs w:val="0"/>
          <w:kern w:val="0"/>
          <w:szCs w:val="30"/>
          <w:lang w:val="en-US" w:eastAsia="zh-CN" w:bidi="ar"/>
        </w:rPr>
        <w:t>37.</w:t>
      </w: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HYPERLINK \l _Toc28573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关于促进政府采购公平竞争优化营商环境的通知</w:t>
      </w:r>
      <w:r>
        <w:rPr>
          <w:rFonts w:hint="eastAsia" w:ascii="宋体" w:hAnsi="宋体" w:eastAsia="宋体" w:cs="宋体"/>
          <w:bCs w:val="0"/>
          <w:kern w:val="0"/>
          <w:szCs w:val="30"/>
          <w:lang w:val="en-US" w:eastAsia="zh-CN" w:bidi="ar"/>
        </w:rPr>
        <w:tab/>
      </w: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PAGEREF _Toc28573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228</w:t>
      </w:r>
      <w:r>
        <w:rPr>
          <w:rFonts w:hint="eastAsia" w:ascii="宋体" w:hAnsi="宋体" w:eastAsia="宋体" w:cs="宋体"/>
          <w:bCs w:val="0"/>
          <w:kern w:val="0"/>
          <w:szCs w:val="30"/>
          <w:lang w:val="en-US" w:eastAsia="zh-CN" w:bidi="ar"/>
        </w:rPr>
        <w:fldChar w:fldCharType="end"/>
      </w:r>
      <w:r>
        <w:rPr>
          <w:rFonts w:hint="eastAsia" w:ascii="宋体" w:hAnsi="宋体" w:eastAsia="宋体" w:cs="宋体"/>
          <w:bCs w:val="0"/>
          <w:kern w:val="0"/>
          <w:szCs w:val="30"/>
          <w:lang w:val="en-US" w:eastAsia="zh-CN" w:bidi="ar"/>
        </w:rPr>
        <w:fldChar w:fldCharType="end"/>
      </w:r>
    </w:p>
    <w:p>
      <w:pPr>
        <w:pStyle w:val="18"/>
        <w:tabs>
          <w:tab w:val="right" w:leader="dot" w:pos="8306"/>
          <w:tab w:val="clear" w:pos="8296"/>
        </w:tabs>
        <w:rPr>
          <w:rFonts w:hint="eastAsia" w:ascii="宋体" w:hAnsi="宋体" w:eastAsia="宋体" w:cs="宋体"/>
          <w:bCs w:val="0"/>
          <w:kern w:val="0"/>
          <w:szCs w:val="30"/>
          <w:lang w:val="en-US" w:eastAsia="zh-CN" w:bidi="ar"/>
        </w:rPr>
      </w:pP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HYPERLINK \l _Toc4932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财库〔2019〕38号</w:t>
      </w:r>
      <w:r>
        <w:rPr>
          <w:rFonts w:hint="eastAsia" w:ascii="宋体" w:hAnsi="宋体" w:eastAsia="宋体" w:cs="宋体"/>
          <w:bCs w:val="0"/>
          <w:kern w:val="0"/>
          <w:szCs w:val="30"/>
          <w:lang w:val="en-US" w:eastAsia="zh-CN" w:bidi="ar"/>
        </w:rPr>
        <w:tab/>
      </w: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PAGEREF _Toc4932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228</w:t>
      </w:r>
      <w:r>
        <w:rPr>
          <w:rFonts w:hint="eastAsia" w:ascii="宋体" w:hAnsi="宋体" w:eastAsia="宋体" w:cs="宋体"/>
          <w:bCs w:val="0"/>
          <w:kern w:val="0"/>
          <w:szCs w:val="30"/>
          <w:lang w:val="en-US" w:eastAsia="zh-CN" w:bidi="ar"/>
        </w:rPr>
        <w:fldChar w:fldCharType="end"/>
      </w:r>
      <w:r>
        <w:rPr>
          <w:rFonts w:hint="eastAsia" w:ascii="宋体" w:hAnsi="宋体" w:eastAsia="宋体" w:cs="宋体"/>
          <w:bCs w:val="0"/>
          <w:kern w:val="0"/>
          <w:szCs w:val="30"/>
          <w:lang w:val="en-US" w:eastAsia="zh-CN" w:bidi="ar"/>
        </w:rPr>
        <w:fldChar w:fldCharType="end"/>
      </w:r>
    </w:p>
    <w:p>
      <w:pPr>
        <w:pStyle w:val="18"/>
        <w:tabs>
          <w:tab w:val="right" w:leader="dot" w:pos="8306"/>
          <w:tab w:val="clear" w:pos="8296"/>
        </w:tabs>
      </w:pPr>
      <w:r>
        <w:rPr>
          <w:rFonts w:hint="eastAsia" w:ascii="宋体" w:hAnsi="宋体" w:eastAsia="宋体" w:cs="宋体"/>
          <w:bCs w:val="0"/>
          <w:kern w:val="0"/>
          <w:szCs w:val="30"/>
          <w:lang w:val="en-US" w:eastAsia="zh-CN" w:bidi="ar"/>
        </w:rPr>
        <w:t>38.</w:t>
      </w: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HYPERLINK \l _Toc1195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关于印发《2019年降低企业杠杆率工作要点》的通知</w:t>
      </w:r>
      <w:r>
        <w:rPr>
          <w:rFonts w:hint="eastAsia" w:ascii="宋体" w:hAnsi="宋体" w:eastAsia="宋体" w:cs="宋体"/>
          <w:bCs w:val="0"/>
          <w:kern w:val="0"/>
          <w:szCs w:val="30"/>
          <w:lang w:val="en-US" w:eastAsia="zh-CN" w:bidi="ar"/>
        </w:rPr>
        <w:tab/>
      </w: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PAGEREF _Toc1195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232</w:t>
      </w:r>
      <w:r>
        <w:rPr>
          <w:rFonts w:hint="eastAsia" w:ascii="宋体" w:hAnsi="宋体" w:eastAsia="宋体" w:cs="宋体"/>
          <w:bCs w:val="0"/>
          <w:kern w:val="0"/>
          <w:szCs w:val="30"/>
          <w:lang w:val="en-US" w:eastAsia="zh-CN" w:bidi="ar"/>
        </w:rPr>
        <w:fldChar w:fldCharType="end"/>
      </w:r>
      <w:r>
        <w:rPr>
          <w:rFonts w:hint="eastAsia" w:ascii="宋体" w:hAnsi="宋体" w:eastAsia="宋体" w:cs="宋体"/>
          <w:bCs w:val="0"/>
          <w:kern w:val="0"/>
          <w:szCs w:val="30"/>
          <w:lang w:val="en-US" w:eastAsia="zh-CN" w:bidi="ar"/>
        </w:rPr>
        <w:fldChar w:fldCharType="end"/>
      </w:r>
    </w:p>
    <w:p>
      <w:pPr>
        <w:pStyle w:val="18"/>
        <w:tabs>
          <w:tab w:val="right" w:leader="dot" w:pos="8306"/>
          <w:tab w:val="clear" w:pos="8296"/>
        </w:tabs>
        <w:rPr>
          <w:rFonts w:hint="eastAsia" w:ascii="宋体" w:hAnsi="宋体" w:eastAsia="宋体" w:cs="宋体"/>
          <w:bCs w:val="0"/>
          <w:kern w:val="0"/>
          <w:szCs w:val="30"/>
          <w:lang w:val="en-US" w:eastAsia="zh-CN" w:bidi="ar"/>
        </w:rPr>
      </w:pP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HYPERLINK \l _Toc28307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发改财金〔2019〕1276号</w:t>
      </w:r>
      <w:r>
        <w:rPr>
          <w:rFonts w:hint="eastAsia" w:ascii="宋体" w:hAnsi="宋体" w:eastAsia="宋体" w:cs="宋体"/>
          <w:bCs w:val="0"/>
          <w:kern w:val="0"/>
          <w:szCs w:val="30"/>
          <w:lang w:val="en-US" w:eastAsia="zh-CN" w:bidi="ar"/>
        </w:rPr>
        <w:tab/>
      </w: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PAGEREF _Toc28307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232</w:t>
      </w:r>
      <w:r>
        <w:rPr>
          <w:rFonts w:hint="eastAsia" w:ascii="宋体" w:hAnsi="宋体" w:eastAsia="宋体" w:cs="宋体"/>
          <w:bCs w:val="0"/>
          <w:kern w:val="0"/>
          <w:szCs w:val="30"/>
          <w:lang w:val="en-US" w:eastAsia="zh-CN" w:bidi="ar"/>
        </w:rPr>
        <w:fldChar w:fldCharType="end"/>
      </w:r>
      <w:r>
        <w:rPr>
          <w:rFonts w:hint="eastAsia" w:ascii="宋体" w:hAnsi="宋体" w:eastAsia="宋体" w:cs="宋体"/>
          <w:bCs w:val="0"/>
          <w:kern w:val="0"/>
          <w:szCs w:val="30"/>
          <w:lang w:val="en-US" w:eastAsia="zh-CN" w:bidi="ar"/>
        </w:rPr>
        <w:fldChar w:fldCharType="end"/>
      </w:r>
    </w:p>
    <w:p>
      <w:pPr>
        <w:pStyle w:val="18"/>
        <w:tabs>
          <w:tab w:val="right" w:leader="dot" w:pos="8306"/>
          <w:tab w:val="clear" w:pos="8296"/>
        </w:tabs>
        <w:rPr>
          <w:rFonts w:hint="eastAsia" w:ascii="宋体" w:hAnsi="宋体" w:eastAsia="宋体" w:cs="宋体"/>
          <w:bCs w:val="0"/>
          <w:kern w:val="0"/>
          <w:szCs w:val="30"/>
          <w:lang w:val="en-US" w:eastAsia="zh-CN" w:bidi="ar"/>
        </w:rPr>
      </w:pPr>
      <w:r>
        <w:rPr>
          <w:rFonts w:hint="eastAsia" w:ascii="宋体" w:hAnsi="宋体" w:eastAsia="宋体" w:cs="宋体"/>
          <w:bCs w:val="0"/>
          <w:kern w:val="0"/>
          <w:szCs w:val="30"/>
          <w:lang w:val="en-US" w:eastAsia="zh-CN" w:bidi="ar"/>
        </w:rPr>
        <w:t>39.</w:t>
      </w: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HYPERLINK \l _Toc15600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工业和信息化部 教育部 人力资源和社会保障部 生态环境部 国家卫生健康委员会 应急管理部 国务院国有资产监督管理委员会 国家市场监督管理总局 国家能源局 国家国防科技工业局</w:t>
      </w:r>
      <w:r>
        <w:rPr>
          <w:rFonts w:hint="eastAsia" w:ascii="宋体" w:hAnsi="宋体" w:eastAsia="宋体" w:cs="宋体"/>
          <w:bCs w:val="0"/>
          <w:kern w:val="0"/>
          <w:szCs w:val="30"/>
          <w:lang w:val="en-US" w:eastAsia="zh-CN" w:bidi="ar"/>
        </w:rPr>
        <w:t xml:space="preserve"> </w:t>
      </w:r>
      <w:r>
        <w:rPr>
          <w:rFonts w:hint="eastAsia" w:ascii="宋体" w:hAnsi="宋体" w:eastAsia="宋体" w:cs="宋体"/>
          <w:bCs w:val="0"/>
          <w:kern w:val="0"/>
          <w:szCs w:val="30"/>
          <w:lang w:val="en-US" w:eastAsia="zh-CN" w:bidi="ar"/>
        </w:rPr>
        <w:t>关于印发加强工业互联网安全工作的指导意见的通知</w:t>
      </w:r>
      <w:r>
        <w:rPr>
          <w:rFonts w:hint="eastAsia" w:ascii="宋体" w:hAnsi="宋体" w:eastAsia="宋体" w:cs="宋体"/>
          <w:bCs w:val="0"/>
          <w:kern w:val="0"/>
          <w:szCs w:val="30"/>
          <w:lang w:val="en-US" w:eastAsia="zh-CN" w:bidi="ar"/>
        </w:rPr>
        <w:t xml:space="preserve"> </w:t>
      </w:r>
      <w:r>
        <w:rPr>
          <w:rFonts w:hint="eastAsia" w:ascii="宋体" w:hAnsi="宋体" w:eastAsia="宋体" w:cs="宋体"/>
          <w:bCs w:val="0"/>
          <w:kern w:val="0"/>
          <w:szCs w:val="30"/>
          <w:lang w:val="en-US" w:eastAsia="zh-CN" w:bidi="ar"/>
        </w:rPr>
        <w:t>工信部联网安〔2019〕168号</w:t>
      </w:r>
      <w:r>
        <w:rPr>
          <w:rFonts w:hint="eastAsia" w:ascii="宋体" w:hAnsi="宋体" w:eastAsia="宋体" w:cs="宋体"/>
          <w:bCs w:val="0"/>
          <w:kern w:val="0"/>
          <w:szCs w:val="30"/>
          <w:lang w:val="en-US" w:eastAsia="zh-CN" w:bidi="ar"/>
        </w:rPr>
        <w:tab/>
      </w: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PAGEREF _Toc15600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236</w:t>
      </w:r>
      <w:r>
        <w:rPr>
          <w:rFonts w:hint="eastAsia" w:ascii="宋体" w:hAnsi="宋体" w:eastAsia="宋体" w:cs="宋体"/>
          <w:bCs w:val="0"/>
          <w:kern w:val="0"/>
          <w:szCs w:val="30"/>
          <w:lang w:val="en-US" w:eastAsia="zh-CN" w:bidi="ar"/>
        </w:rPr>
        <w:fldChar w:fldCharType="end"/>
      </w:r>
      <w:r>
        <w:rPr>
          <w:rFonts w:hint="eastAsia" w:ascii="宋体" w:hAnsi="宋体" w:eastAsia="宋体" w:cs="宋体"/>
          <w:bCs w:val="0"/>
          <w:kern w:val="0"/>
          <w:szCs w:val="30"/>
          <w:lang w:val="en-US" w:eastAsia="zh-CN" w:bidi="ar"/>
        </w:rPr>
        <w:fldChar w:fldCharType="end"/>
      </w:r>
    </w:p>
    <w:p>
      <w:pPr>
        <w:pStyle w:val="18"/>
        <w:tabs>
          <w:tab w:val="right" w:leader="dot" w:pos="8306"/>
          <w:tab w:val="clear" w:pos="8296"/>
        </w:tabs>
        <w:rPr>
          <w:rFonts w:hint="eastAsia" w:ascii="宋体" w:hAnsi="宋体" w:eastAsia="宋体" w:cs="宋体"/>
          <w:bCs w:val="0"/>
          <w:kern w:val="0"/>
          <w:szCs w:val="30"/>
          <w:lang w:val="en-US" w:eastAsia="zh-CN" w:bidi="ar"/>
        </w:rPr>
      </w:pPr>
      <w:r>
        <w:rPr>
          <w:rFonts w:hint="eastAsia" w:ascii="宋体" w:hAnsi="宋体" w:eastAsia="宋体" w:cs="宋体"/>
          <w:bCs w:val="0"/>
          <w:kern w:val="0"/>
          <w:szCs w:val="30"/>
          <w:lang w:val="en-US" w:eastAsia="zh-CN" w:bidi="ar"/>
        </w:rPr>
        <w:t>40.</w:t>
      </w: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HYPERLINK \l _Toc6733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国家发展改革委关于进一步降低中国人民银行征信中心服务收费标准的通知</w:t>
      </w:r>
      <w:r>
        <w:rPr>
          <w:rFonts w:hint="eastAsia" w:ascii="宋体" w:hAnsi="宋体" w:eastAsia="宋体" w:cs="宋体"/>
          <w:bCs w:val="0"/>
          <w:kern w:val="0"/>
          <w:szCs w:val="30"/>
          <w:lang w:val="en-US" w:eastAsia="zh-CN" w:bidi="ar"/>
        </w:rPr>
        <w:tab/>
      </w: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PAGEREF _Toc6733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241</w:t>
      </w:r>
      <w:r>
        <w:rPr>
          <w:rFonts w:hint="eastAsia" w:ascii="宋体" w:hAnsi="宋体" w:eastAsia="宋体" w:cs="宋体"/>
          <w:bCs w:val="0"/>
          <w:kern w:val="0"/>
          <w:szCs w:val="30"/>
          <w:lang w:val="en-US" w:eastAsia="zh-CN" w:bidi="ar"/>
        </w:rPr>
        <w:fldChar w:fldCharType="end"/>
      </w:r>
      <w:r>
        <w:rPr>
          <w:rFonts w:hint="eastAsia" w:ascii="宋体" w:hAnsi="宋体" w:eastAsia="宋体" w:cs="宋体"/>
          <w:bCs w:val="0"/>
          <w:kern w:val="0"/>
          <w:szCs w:val="30"/>
          <w:lang w:val="en-US" w:eastAsia="zh-CN" w:bidi="ar"/>
        </w:rPr>
        <w:fldChar w:fldCharType="end"/>
      </w:r>
    </w:p>
    <w:p>
      <w:pPr>
        <w:pStyle w:val="18"/>
        <w:tabs>
          <w:tab w:val="right" w:leader="dot" w:pos="8306"/>
          <w:tab w:val="clear" w:pos="8296"/>
        </w:tabs>
        <w:rPr>
          <w:rFonts w:hint="eastAsia" w:ascii="宋体" w:hAnsi="宋体" w:eastAsia="宋体" w:cs="宋体"/>
          <w:bCs w:val="0"/>
          <w:kern w:val="0"/>
          <w:szCs w:val="30"/>
          <w:lang w:val="en-US" w:eastAsia="zh-CN" w:bidi="ar"/>
        </w:rPr>
      </w:pP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HYPERLINK \l _Toc8903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发改价格规〔2019〕1318号</w:t>
      </w:r>
      <w:r>
        <w:rPr>
          <w:rFonts w:hint="eastAsia" w:ascii="宋体" w:hAnsi="宋体" w:eastAsia="宋体" w:cs="宋体"/>
          <w:bCs w:val="0"/>
          <w:kern w:val="0"/>
          <w:szCs w:val="30"/>
          <w:lang w:val="en-US" w:eastAsia="zh-CN" w:bidi="ar"/>
        </w:rPr>
        <w:tab/>
      </w: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PAGEREF _Toc8903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241</w:t>
      </w:r>
      <w:r>
        <w:rPr>
          <w:rFonts w:hint="eastAsia" w:ascii="宋体" w:hAnsi="宋体" w:eastAsia="宋体" w:cs="宋体"/>
          <w:bCs w:val="0"/>
          <w:kern w:val="0"/>
          <w:szCs w:val="30"/>
          <w:lang w:val="en-US" w:eastAsia="zh-CN" w:bidi="ar"/>
        </w:rPr>
        <w:fldChar w:fldCharType="end"/>
      </w:r>
      <w:r>
        <w:rPr>
          <w:rFonts w:hint="eastAsia" w:ascii="宋体" w:hAnsi="宋体" w:eastAsia="宋体" w:cs="宋体"/>
          <w:bCs w:val="0"/>
          <w:kern w:val="0"/>
          <w:szCs w:val="30"/>
          <w:lang w:val="en-US" w:eastAsia="zh-CN" w:bidi="ar"/>
        </w:rPr>
        <w:fldChar w:fldCharType="end"/>
      </w:r>
    </w:p>
    <w:p>
      <w:pPr>
        <w:pStyle w:val="18"/>
        <w:tabs>
          <w:tab w:val="right" w:leader="dot" w:pos="8306"/>
          <w:tab w:val="clear" w:pos="8296"/>
        </w:tabs>
        <w:rPr>
          <w:rFonts w:hint="eastAsia" w:ascii="宋体" w:hAnsi="宋体" w:eastAsia="宋体" w:cs="宋体"/>
          <w:bCs w:val="0"/>
          <w:kern w:val="0"/>
          <w:szCs w:val="30"/>
          <w:lang w:val="en-US" w:eastAsia="zh-CN" w:bidi="ar"/>
        </w:rPr>
      </w:pPr>
      <w:r>
        <w:rPr>
          <w:rFonts w:hint="eastAsia" w:ascii="宋体" w:hAnsi="宋体" w:eastAsia="宋体" w:cs="宋体"/>
          <w:bCs w:val="0"/>
          <w:kern w:val="0"/>
          <w:szCs w:val="30"/>
          <w:lang w:val="en-US" w:eastAsia="zh-CN" w:bidi="ar"/>
        </w:rPr>
        <w:t>41.</w:t>
      </w: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HYPERLINK \l _Toc27775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市场监管总局 国家发展改革委 工业和信息化部</w:t>
      </w:r>
      <w:r>
        <w:rPr>
          <w:rFonts w:hint="default" w:ascii="宋体" w:hAnsi="宋体" w:eastAsia="宋体" w:cs="宋体"/>
          <w:bCs w:val="0"/>
          <w:kern w:val="0"/>
          <w:szCs w:val="30"/>
          <w:lang w:val="en-US" w:eastAsia="zh-CN" w:bidi="ar"/>
        </w:rPr>
        <w:t>民政部 财政部 国资委 银保监会</w:t>
      </w:r>
      <w:r>
        <w:rPr>
          <w:rFonts w:hint="eastAsia" w:ascii="宋体" w:hAnsi="宋体" w:eastAsia="宋体" w:cs="宋体"/>
          <w:bCs w:val="0"/>
          <w:kern w:val="0"/>
          <w:szCs w:val="30"/>
          <w:lang w:val="en-US" w:eastAsia="zh-CN" w:bidi="ar"/>
        </w:rPr>
        <w:tab/>
      </w: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PAGEREF _Toc27775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242</w:t>
      </w:r>
      <w:r>
        <w:rPr>
          <w:rFonts w:hint="eastAsia" w:ascii="宋体" w:hAnsi="宋体" w:eastAsia="宋体" w:cs="宋体"/>
          <w:bCs w:val="0"/>
          <w:kern w:val="0"/>
          <w:szCs w:val="30"/>
          <w:lang w:val="en-US" w:eastAsia="zh-CN" w:bidi="ar"/>
        </w:rPr>
        <w:fldChar w:fldCharType="end"/>
      </w:r>
      <w:r>
        <w:rPr>
          <w:rFonts w:hint="eastAsia" w:ascii="宋体" w:hAnsi="宋体" w:eastAsia="宋体" w:cs="宋体"/>
          <w:bCs w:val="0"/>
          <w:kern w:val="0"/>
          <w:szCs w:val="30"/>
          <w:lang w:val="en-US" w:eastAsia="zh-CN" w:bidi="ar"/>
        </w:rPr>
        <w:fldChar w:fldCharType="end"/>
      </w:r>
    </w:p>
    <w:p>
      <w:pPr>
        <w:pStyle w:val="18"/>
        <w:tabs>
          <w:tab w:val="right" w:leader="dot" w:pos="8306"/>
          <w:tab w:val="clear" w:pos="8296"/>
        </w:tabs>
        <w:rPr>
          <w:rFonts w:hint="eastAsia" w:ascii="宋体" w:hAnsi="宋体" w:eastAsia="宋体" w:cs="宋体"/>
          <w:bCs w:val="0"/>
          <w:kern w:val="0"/>
          <w:szCs w:val="30"/>
          <w:lang w:val="en-US" w:eastAsia="zh-CN" w:bidi="ar"/>
        </w:rPr>
      </w:pP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HYPERLINK \l _Toc17718 </w:instrText>
      </w:r>
      <w:r>
        <w:rPr>
          <w:rFonts w:hint="eastAsia" w:ascii="宋体" w:hAnsi="宋体" w:eastAsia="宋体" w:cs="宋体"/>
          <w:bCs w:val="0"/>
          <w:kern w:val="0"/>
          <w:szCs w:val="30"/>
          <w:lang w:val="en-US" w:eastAsia="zh-CN" w:bidi="ar"/>
        </w:rPr>
        <w:fldChar w:fldCharType="separate"/>
      </w:r>
      <w:r>
        <w:rPr>
          <w:rFonts w:hint="default" w:ascii="宋体" w:hAnsi="宋体" w:eastAsia="宋体" w:cs="宋体"/>
          <w:bCs w:val="0"/>
          <w:kern w:val="0"/>
          <w:szCs w:val="30"/>
          <w:lang w:val="en-US" w:eastAsia="zh-CN" w:bidi="ar"/>
        </w:rPr>
        <w:t>关于进一步加强违规涉企收费治理工作的通知</w:t>
      </w:r>
      <w:r>
        <w:rPr>
          <w:rFonts w:hint="eastAsia" w:ascii="宋体" w:hAnsi="宋体" w:eastAsia="宋体" w:cs="宋体"/>
          <w:bCs w:val="0"/>
          <w:kern w:val="0"/>
          <w:szCs w:val="30"/>
          <w:lang w:val="en-US" w:eastAsia="zh-CN" w:bidi="ar"/>
        </w:rPr>
        <w:tab/>
      </w: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PAGEREF _Toc17718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242</w:t>
      </w:r>
      <w:r>
        <w:rPr>
          <w:rFonts w:hint="eastAsia" w:ascii="宋体" w:hAnsi="宋体" w:eastAsia="宋体" w:cs="宋体"/>
          <w:bCs w:val="0"/>
          <w:kern w:val="0"/>
          <w:szCs w:val="30"/>
          <w:lang w:val="en-US" w:eastAsia="zh-CN" w:bidi="ar"/>
        </w:rPr>
        <w:fldChar w:fldCharType="end"/>
      </w:r>
      <w:r>
        <w:rPr>
          <w:rFonts w:hint="eastAsia" w:ascii="宋体" w:hAnsi="宋体" w:eastAsia="宋体" w:cs="宋体"/>
          <w:bCs w:val="0"/>
          <w:kern w:val="0"/>
          <w:szCs w:val="30"/>
          <w:lang w:val="en-US" w:eastAsia="zh-CN" w:bidi="ar"/>
        </w:rPr>
        <w:fldChar w:fldCharType="end"/>
      </w:r>
    </w:p>
    <w:p>
      <w:pPr>
        <w:pStyle w:val="18"/>
        <w:tabs>
          <w:tab w:val="right" w:leader="dot" w:pos="8306"/>
          <w:tab w:val="clear" w:pos="8296"/>
        </w:tabs>
        <w:rPr>
          <w:rFonts w:hint="eastAsia" w:ascii="宋体" w:hAnsi="宋体" w:eastAsia="宋体" w:cs="宋体"/>
          <w:bCs w:val="0"/>
          <w:kern w:val="0"/>
          <w:szCs w:val="30"/>
          <w:lang w:val="en-US" w:eastAsia="zh-CN" w:bidi="ar"/>
        </w:rPr>
      </w:pP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HYPERLINK \l _Toc17862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国市监竞争〔2019〕150号</w:t>
      </w:r>
      <w:r>
        <w:rPr>
          <w:rFonts w:hint="eastAsia" w:ascii="宋体" w:hAnsi="宋体" w:eastAsia="宋体" w:cs="宋体"/>
          <w:bCs w:val="0"/>
          <w:kern w:val="0"/>
          <w:szCs w:val="30"/>
          <w:lang w:val="en-US" w:eastAsia="zh-CN" w:bidi="ar"/>
        </w:rPr>
        <w:tab/>
      </w: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PAGEREF _Toc17862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242</w:t>
      </w:r>
      <w:r>
        <w:rPr>
          <w:rFonts w:hint="eastAsia" w:ascii="宋体" w:hAnsi="宋体" w:eastAsia="宋体" w:cs="宋体"/>
          <w:bCs w:val="0"/>
          <w:kern w:val="0"/>
          <w:szCs w:val="30"/>
          <w:lang w:val="en-US" w:eastAsia="zh-CN" w:bidi="ar"/>
        </w:rPr>
        <w:fldChar w:fldCharType="end"/>
      </w:r>
      <w:r>
        <w:rPr>
          <w:rFonts w:hint="eastAsia" w:ascii="宋体" w:hAnsi="宋体" w:eastAsia="宋体" w:cs="宋体"/>
          <w:bCs w:val="0"/>
          <w:kern w:val="0"/>
          <w:szCs w:val="30"/>
          <w:lang w:val="en-US" w:eastAsia="zh-CN" w:bidi="ar"/>
        </w:rPr>
        <w:fldChar w:fldCharType="end"/>
      </w:r>
    </w:p>
    <w:p>
      <w:pPr>
        <w:pStyle w:val="18"/>
        <w:tabs>
          <w:tab w:val="right" w:leader="dot" w:pos="8306"/>
          <w:tab w:val="clear" w:pos="8296"/>
        </w:tabs>
        <w:rPr>
          <w:rFonts w:hint="eastAsia" w:ascii="宋体" w:hAnsi="宋体" w:eastAsia="宋体" w:cs="宋体"/>
          <w:bCs w:val="0"/>
          <w:kern w:val="0"/>
          <w:szCs w:val="30"/>
          <w:lang w:val="en-US" w:eastAsia="zh-CN" w:bidi="ar"/>
        </w:rPr>
      </w:pPr>
      <w:r>
        <w:rPr>
          <w:rFonts w:hint="eastAsia" w:ascii="宋体" w:hAnsi="宋体" w:eastAsia="宋体" w:cs="宋体"/>
          <w:bCs w:val="0"/>
          <w:kern w:val="0"/>
          <w:szCs w:val="30"/>
          <w:lang w:val="en-US" w:eastAsia="zh-CN" w:bidi="ar"/>
        </w:rPr>
        <w:t>42.</w:t>
      </w: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HYPERLINK \l _Toc9562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科技部印发《关于新时期支持科技型中小企业加快创新发展的若干政策措施》的通知</w:t>
      </w:r>
      <w:r>
        <w:rPr>
          <w:rFonts w:hint="eastAsia" w:ascii="宋体" w:hAnsi="宋体" w:eastAsia="宋体" w:cs="宋体"/>
          <w:bCs w:val="0"/>
          <w:kern w:val="0"/>
          <w:szCs w:val="30"/>
          <w:lang w:val="en-US" w:eastAsia="zh-CN" w:bidi="ar"/>
        </w:rPr>
        <w:tab/>
      </w: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PAGEREF _Toc9562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245</w:t>
      </w:r>
      <w:r>
        <w:rPr>
          <w:rFonts w:hint="eastAsia" w:ascii="宋体" w:hAnsi="宋体" w:eastAsia="宋体" w:cs="宋体"/>
          <w:bCs w:val="0"/>
          <w:kern w:val="0"/>
          <w:szCs w:val="30"/>
          <w:lang w:val="en-US" w:eastAsia="zh-CN" w:bidi="ar"/>
        </w:rPr>
        <w:fldChar w:fldCharType="end"/>
      </w:r>
      <w:r>
        <w:rPr>
          <w:rFonts w:hint="eastAsia" w:ascii="宋体" w:hAnsi="宋体" w:eastAsia="宋体" w:cs="宋体"/>
          <w:bCs w:val="0"/>
          <w:kern w:val="0"/>
          <w:szCs w:val="30"/>
          <w:lang w:val="en-US" w:eastAsia="zh-CN" w:bidi="ar"/>
        </w:rPr>
        <w:fldChar w:fldCharType="end"/>
      </w:r>
    </w:p>
    <w:p>
      <w:pPr>
        <w:pStyle w:val="18"/>
        <w:tabs>
          <w:tab w:val="right" w:leader="dot" w:pos="8306"/>
          <w:tab w:val="clear" w:pos="8296"/>
        </w:tabs>
        <w:rPr>
          <w:rFonts w:hint="eastAsia" w:ascii="宋体" w:hAnsi="宋体" w:eastAsia="宋体" w:cs="宋体"/>
          <w:bCs w:val="0"/>
          <w:kern w:val="0"/>
          <w:szCs w:val="30"/>
          <w:lang w:val="en-US" w:eastAsia="zh-CN" w:bidi="ar"/>
        </w:rPr>
      </w:pP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HYPERLINK \l _Toc28038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国科发区〔2019〕268号</w:t>
      </w:r>
      <w:r>
        <w:rPr>
          <w:rFonts w:hint="eastAsia" w:ascii="宋体" w:hAnsi="宋体" w:eastAsia="宋体" w:cs="宋体"/>
          <w:bCs w:val="0"/>
          <w:kern w:val="0"/>
          <w:szCs w:val="30"/>
          <w:lang w:val="en-US" w:eastAsia="zh-CN" w:bidi="ar"/>
        </w:rPr>
        <w:tab/>
      </w: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PAGEREF _Toc28038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245</w:t>
      </w:r>
      <w:r>
        <w:rPr>
          <w:rFonts w:hint="eastAsia" w:ascii="宋体" w:hAnsi="宋体" w:eastAsia="宋体" w:cs="宋体"/>
          <w:bCs w:val="0"/>
          <w:kern w:val="0"/>
          <w:szCs w:val="30"/>
          <w:lang w:val="en-US" w:eastAsia="zh-CN" w:bidi="ar"/>
        </w:rPr>
        <w:fldChar w:fldCharType="end"/>
      </w:r>
      <w:r>
        <w:rPr>
          <w:rFonts w:hint="eastAsia" w:ascii="宋体" w:hAnsi="宋体" w:eastAsia="宋体" w:cs="宋体"/>
          <w:bCs w:val="0"/>
          <w:kern w:val="0"/>
          <w:szCs w:val="30"/>
          <w:lang w:val="en-US" w:eastAsia="zh-CN" w:bidi="ar"/>
        </w:rPr>
        <w:fldChar w:fldCharType="end"/>
      </w:r>
    </w:p>
    <w:p>
      <w:pPr>
        <w:pStyle w:val="18"/>
        <w:tabs>
          <w:tab w:val="right" w:leader="dot" w:pos="8306"/>
          <w:tab w:val="clear" w:pos="8296"/>
        </w:tabs>
        <w:rPr>
          <w:rFonts w:hint="eastAsia" w:ascii="宋体" w:hAnsi="宋体" w:eastAsia="宋体" w:cs="宋体"/>
          <w:bCs w:val="0"/>
          <w:kern w:val="0"/>
          <w:szCs w:val="30"/>
          <w:lang w:val="en-US" w:eastAsia="zh-CN" w:bidi="ar"/>
        </w:rPr>
      </w:pPr>
      <w:r>
        <w:rPr>
          <w:rFonts w:hint="eastAsia" w:ascii="宋体" w:hAnsi="宋体" w:eastAsia="宋体" w:cs="宋体"/>
          <w:bCs w:val="0"/>
          <w:kern w:val="0"/>
          <w:szCs w:val="30"/>
          <w:lang w:val="en-US" w:eastAsia="zh-CN" w:bidi="ar"/>
        </w:rPr>
        <w:t>43.</w:t>
      </w: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HYPERLINK \l _Toc60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中国银保监会 国家知识产权局 国家版权局关于进一步加强知识产权质押融资工作的通知</w:t>
      </w:r>
      <w:r>
        <w:rPr>
          <w:rFonts w:hint="eastAsia" w:ascii="宋体" w:hAnsi="宋体" w:eastAsia="宋体" w:cs="宋体"/>
          <w:bCs w:val="0"/>
          <w:kern w:val="0"/>
          <w:szCs w:val="30"/>
          <w:lang w:val="en-US" w:eastAsia="zh-CN" w:bidi="ar"/>
        </w:rPr>
        <w:tab/>
      </w:r>
      <w:r>
        <w:rPr>
          <w:rFonts w:hint="eastAsia" w:ascii="宋体" w:hAnsi="宋体" w:eastAsia="宋体" w:cs="宋体"/>
          <w:bCs w:val="0"/>
          <w:kern w:val="0"/>
          <w:szCs w:val="30"/>
          <w:lang w:val="en-US" w:eastAsia="zh-CN" w:bidi="ar"/>
        </w:rPr>
        <w:fldChar w:fldCharType="end"/>
      </w:r>
    </w:p>
    <w:p>
      <w:pPr>
        <w:pStyle w:val="18"/>
        <w:tabs>
          <w:tab w:val="right" w:leader="dot" w:pos="8306"/>
          <w:tab w:val="clear" w:pos="8296"/>
        </w:tabs>
        <w:rPr>
          <w:rFonts w:hint="eastAsia" w:ascii="宋体" w:hAnsi="宋体" w:eastAsia="宋体" w:cs="宋体"/>
          <w:bCs w:val="0"/>
          <w:kern w:val="0"/>
          <w:szCs w:val="30"/>
          <w:lang w:val="en-US" w:eastAsia="zh-CN" w:bidi="ar"/>
        </w:rPr>
      </w:pP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HYPERLINK \l _Toc30571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银</w:t>
      </w:r>
      <w:r>
        <w:rPr>
          <w:rFonts w:hint="default" w:ascii="宋体" w:hAnsi="宋体" w:eastAsia="宋体" w:cs="宋体"/>
          <w:bCs w:val="0"/>
          <w:kern w:val="0"/>
          <w:szCs w:val="30"/>
          <w:lang w:val="en-US" w:eastAsia="zh-CN" w:bidi="ar"/>
        </w:rPr>
        <w:t>保监发〔2019〕34号</w:t>
      </w:r>
      <w:r>
        <w:rPr>
          <w:rFonts w:hint="eastAsia" w:ascii="宋体" w:hAnsi="宋体" w:eastAsia="宋体" w:cs="宋体"/>
          <w:bCs w:val="0"/>
          <w:kern w:val="0"/>
          <w:szCs w:val="30"/>
          <w:lang w:val="en-US" w:eastAsia="zh-CN" w:bidi="ar"/>
        </w:rPr>
        <w:tab/>
      </w: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PAGEREF _Toc30571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248</w:t>
      </w:r>
      <w:r>
        <w:rPr>
          <w:rFonts w:hint="eastAsia" w:ascii="宋体" w:hAnsi="宋体" w:eastAsia="宋体" w:cs="宋体"/>
          <w:bCs w:val="0"/>
          <w:kern w:val="0"/>
          <w:szCs w:val="30"/>
          <w:lang w:val="en-US" w:eastAsia="zh-CN" w:bidi="ar"/>
        </w:rPr>
        <w:fldChar w:fldCharType="end"/>
      </w:r>
      <w:r>
        <w:rPr>
          <w:rFonts w:hint="eastAsia" w:ascii="宋体" w:hAnsi="宋体" w:eastAsia="宋体" w:cs="宋体"/>
          <w:bCs w:val="0"/>
          <w:kern w:val="0"/>
          <w:szCs w:val="30"/>
          <w:lang w:val="en-US" w:eastAsia="zh-CN" w:bidi="ar"/>
        </w:rPr>
        <w:fldChar w:fldCharType="end"/>
      </w:r>
    </w:p>
    <w:p>
      <w:pPr>
        <w:pStyle w:val="18"/>
        <w:tabs>
          <w:tab w:val="right" w:leader="dot" w:pos="8306"/>
          <w:tab w:val="clear" w:pos="8296"/>
        </w:tabs>
        <w:rPr>
          <w:rFonts w:hint="eastAsia" w:ascii="宋体" w:hAnsi="宋体" w:eastAsia="宋体" w:cs="宋体"/>
          <w:bCs w:val="0"/>
          <w:kern w:val="0"/>
          <w:szCs w:val="30"/>
          <w:lang w:val="en-US" w:eastAsia="zh-CN" w:bidi="ar"/>
        </w:rPr>
      </w:pPr>
      <w:r>
        <w:rPr>
          <w:rFonts w:hint="eastAsia" w:ascii="宋体" w:hAnsi="宋体" w:eastAsia="宋体" w:cs="宋体"/>
          <w:bCs w:val="0"/>
          <w:kern w:val="0"/>
          <w:szCs w:val="30"/>
          <w:lang w:val="en-US" w:eastAsia="zh-CN" w:bidi="ar"/>
        </w:rPr>
        <w:t>44.</w:t>
      </w: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HYPERLINK \l _Toc23269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关于金融企业涉农贷款和中小企业贷款损失准备金税前扣除有关政策的公告</w:t>
      </w:r>
      <w:r>
        <w:rPr>
          <w:rFonts w:hint="eastAsia" w:ascii="宋体" w:hAnsi="宋体" w:eastAsia="宋体" w:cs="宋体"/>
          <w:bCs w:val="0"/>
          <w:kern w:val="0"/>
          <w:szCs w:val="30"/>
          <w:lang w:val="en-US" w:eastAsia="zh-CN" w:bidi="ar"/>
        </w:rPr>
        <w:tab/>
      </w: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PAGEREF _Toc23269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251</w:t>
      </w:r>
      <w:r>
        <w:rPr>
          <w:rFonts w:hint="eastAsia" w:ascii="宋体" w:hAnsi="宋体" w:eastAsia="宋体" w:cs="宋体"/>
          <w:bCs w:val="0"/>
          <w:kern w:val="0"/>
          <w:szCs w:val="30"/>
          <w:lang w:val="en-US" w:eastAsia="zh-CN" w:bidi="ar"/>
        </w:rPr>
        <w:fldChar w:fldCharType="end"/>
      </w:r>
      <w:r>
        <w:rPr>
          <w:rFonts w:hint="eastAsia" w:ascii="宋体" w:hAnsi="宋体" w:eastAsia="宋体" w:cs="宋体"/>
          <w:bCs w:val="0"/>
          <w:kern w:val="0"/>
          <w:szCs w:val="30"/>
          <w:lang w:val="en-US" w:eastAsia="zh-CN" w:bidi="ar"/>
        </w:rPr>
        <w:fldChar w:fldCharType="end"/>
      </w:r>
    </w:p>
    <w:p>
      <w:pPr>
        <w:pStyle w:val="18"/>
        <w:tabs>
          <w:tab w:val="right" w:leader="dot" w:pos="8306"/>
          <w:tab w:val="clear" w:pos="8296"/>
        </w:tabs>
        <w:rPr>
          <w:rFonts w:hint="eastAsia" w:ascii="宋体" w:hAnsi="宋体" w:eastAsia="宋体" w:cs="宋体"/>
          <w:bCs w:val="0"/>
          <w:kern w:val="0"/>
          <w:szCs w:val="30"/>
          <w:lang w:val="en-US" w:eastAsia="zh-CN" w:bidi="ar"/>
        </w:rPr>
      </w:pP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HYPERLINK \l _Toc2474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财政部 税务总局公告2019年第85号</w:t>
      </w:r>
      <w:r>
        <w:rPr>
          <w:rFonts w:hint="eastAsia" w:ascii="宋体" w:hAnsi="宋体" w:eastAsia="宋体" w:cs="宋体"/>
          <w:bCs w:val="0"/>
          <w:kern w:val="0"/>
          <w:szCs w:val="30"/>
          <w:lang w:val="en-US" w:eastAsia="zh-CN" w:bidi="ar"/>
        </w:rPr>
        <w:tab/>
      </w: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PAGEREF _Toc2474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251</w:t>
      </w:r>
      <w:r>
        <w:rPr>
          <w:rFonts w:hint="eastAsia" w:ascii="宋体" w:hAnsi="宋体" w:eastAsia="宋体" w:cs="宋体"/>
          <w:bCs w:val="0"/>
          <w:kern w:val="0"/>
          <w:szCs w:val="30"/>
          <w:lang w:val="en-US" w:eastAsia="zh-CN" w:bidi="ar"/>
        </w:rPr>
        <w:fldChar w:fldCharType="end"/>
      </w:r>
      <w:r>
        <w:rPr>
          <w:rFonts w:hint="eastAsia" w:ascii="宋体" w:hAnsi="宋体" w:eastAsia="宋体" w:cs="宋体"/>
          <w:bCs w:val="0"/>
          <w:kern w:val="0"/>
          <w:szCs w:val="30"/>
          <w:lang w:val="en-US" w:eastAsia="zh-CN" w:bidi="ar"/>
        </w:rPr>
        <w:fldChar w:fldCharType="end"/>
      </w:r>
    </w:p>
    <w:p>
      <w:pPr>
        <w:pStyle w:val="18"/>
        <w:tabs>
          <w:tab w:val="right" w:leader="dot" w:pos="8306"/>
          <w:tab w:val="clear" w:pos="8296"/>
        </w:tabs>
        <w:rPr>
          <w:rFonts w:hint="eastAsia" w:ascii="宋体" w:hAnsi="宋体" w:eastAsia="宋体" w:cs="宋体"/>
          <w:bCs w:val="0"/>
          <w:kern w:val="0"/>
          <w:szCs w:val="30"/>
          <w:lang w:val="en-US" w:eastAsia="zh-CN" w:bidi="ar"/>
        </w:rPr>
      </w:pPr>
      <w:r>
        <w:rPr>
          <w:rFonts w:hint="eastAsia" w:ascii="宋体" w:hAnsi="宋体" w:eastAsia="宋体" w:cs="宋体"/>
          <w:bCs w:val="0"/>
          <w:kern w:val="0"/>
          <w:szCs w:val="30"/>
          <w:lang w:val="en-US" w:eastAsia="zh-CN" w:bidi="ar"/>
        </w:rPr>
        <w:t>45.</w:t>
      </w: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HYPERLINK \l _Toc8886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工业和信息化部办公厅关于请配合做好中小企业发展环境第三方试评估工作的通知</w:t>
      </w:r>
      <w:r>
        <w:rPr>
          <w:rFonts w:hint="eastAsia" w:ascii="宋体" w:hAnsi="宋体" w:eastAsia="宋体" w:cs="宋体"/>
          <w:bCs w:val="0"/>
          <w:kern w:val="0"/>
          <w:szCs w:val="30"/>
          <w:lang w:val="en-US" w:eastAsia="zh-CN" w:bidi="ar"/>
        </w:rPr>
        <w:tab/>
      </w: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PAGEREF _Toc8886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253</w:t>
      </w:r>
      <w:r>
        <w:rPr>
          <w:rFonts w:hint="eastAsia" w:ascii="宋体" w:hAnsi="宋体" w:eastAsia="宋体" w:cs="宋体"/>
          <w:bCs w:val="0"/>
          <w:kern w:val="0"/>
          <w:szCs w:val="30"/>
          <w:lang w:val="en-US" w:eastAsia="zh-CN" w:bidi="ar"/>
        </w:rPr>
        <w:fldChar w:fldCharType="end"/>
      </w:r>
      <w:r>
        <w:rPr>
          <w:rFonts w:hint="eastAsia" w:ascii="宋体" w:hAnsi="宋体" w:eastAsia="宋体" w:cs="宋体"/>
          <w:bCs w:val="0"/>
          <w:kern w:val="0"/>
          <w:szCs w:val="30"/>
          <w:lang w:val="en-US" w:eastAsia="zh-CN" w:bidi="ar"/>
        </w:rPr>
        <w:fldChar w:fldCharType="end"/>
      </w:r>
    </w:p>
    <w:p>
      <w:pPr>
        <w:pStyle w:val="18"/>
        <w:tabs>
          <w:tab w:val="right" w:leader="dot" w:pos="8306"/>
          <w:tab w:val="clear" w:pos="8296"/>
        </w:tabs>
        <w:rPr>
          <w:rFonts w:hint="eastAsia" w:ascii="宋体" w:hAnsi="宋体" w:eastAsia="宋体" w:cs="宋体"/>
          <w:bCs w:val="0"/>
          <w:kern w:val="0"/>
          <w:szCs w:val="30"/>
          <w:lang w:val="en-US" w:eastAsia="zh-CN" w:bidi="ar"/>
        </w:rPr>
      </w:pP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HYPERLINK \l _Toc28473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工信厅企业函 ﹝2019﹞ 219号</w:t>
      </w:r>
      <w:r>
        <w:rPr>
          <w:rFonts w:hint="eastAsia" w:ascii="宋体" w:hAnsi="宋体" w:eastAsia="宋体" w:cs="宋体"/>
          <w:bCs w:val="0"/>
          <w:kern w:val="0"/>
          <w:szCs w:val="30"/>
          <w:lang w:val="en-US" w:eastAsia="zh-CN" w:bidi="ar"/>
        </w:rPr>
        <w:tab/>
      </w: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PAGEREF _Toc28473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253</w:t>
      </w:r>
      <w:r>
        <w:rPr>
          <w:rFonts w:hint="eastAsia" w:ascii="宋体" w:hAnsi="宋体" w:eastAsia="宋体" w:cs="宋体"/>
          <w:bCs w:val="0"/>
          <w:kern w:val="0"/>
          <w:szCs w:val="30"/>
          <w:lang w:val="en-US" w:eastAsia="zh-CN" w:bidi="ar"/>
        </w:rPr>
        <w:fldChar w:fldCharType="end"/>
      </w:r>
      <w:r>
        <w:rPr>
          <w:rFonts w:hint="eastAsia" w:ascii="宋体" w:hAnsi="宋体" w:eastAsia="宋体" w:cs="宋体"/>
          <w:bCs w:val="0"/>
          <w:kern w:val="0"/>
          <w:szCs w:val="30"/>
          <w:lang w:val="en-US" w:eastAsia="zh-CN" w:bidi="ar"/>
        </w:rPr>
        <w:fldChar w:fldCharType="end"/>
      </w:r>
    </w:p>
    <w:p>
      <w:pPr>
        <w:pStyle w:val="18"/>
        <w:tabs>
          <w:tab w:val="right" w:leader="dot" w:pos="8306"/>
          <w:tab w:val="clear" w:pos="8296"/>
        </w:tabs>
        <w:rPr>
          <w:rFonts w:hint="eastAsia" w:ascii="宋体" w:hAnsi="宋体" w:eastAsia="宋体" w:cs="宋体"/>
          <w:bCs w:val="0"/>
          <w:kern w:val="0"/>
          <w:szCs w:val="30"/>
          <w:lang w:val="en-US" w:eastAsia="zh-CN" w:bidi="ar"/>
        </w:rPr>
      </w:pPr>
      <w:r>
        <w:rPr>
          <w:rFonts w:hint="eastAsia" w:ascii="宋体" w:hAnsi="宋体" w:eastAsia="宋体" w:cs="宋体"/>
          <w:bCs w:val="0"/>
          <w:kern w:val="0"/>
          <w:szCs w:val="30"/>
          <w:lang w:val="en-US" w:eastAsia="zh-CN" w:bidi="ar"/>
        </w:rPr>
        <w:t>46.</w:t>
      </w: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HYPERLINK \l _Toc23111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工业和信息化部关于公布2019年度国家小型微型企业创业创新示范基地名单的通告</w:t>
      </w:r>
      <w:r>
        <w:rPr>
          <w:rFonts w:hint="eastAsia" w:ascii="宋体" w:hAnsi="宋体" w:eastAsia="宋体" w:cs="宋体"/>
          <w:bCs w:val="0"/>
          <w:kern w:val="0"/>
          <w:szCs w:val="30"/>
          <w:lang w:val="en-US" w:eastAsia="zh-CN" w:bidi="ar"/>
        </w:rPr>
        <w:tab/>
      </w: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PAGEREF _Toc23111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255</w:t>
      </w:r>
      <w:r>
        <w:rPr>
          <w:rFonts w:hint="eastAsia" w:ascii="宋体" w:hAnsi="宋体" w:eastAsia="宋体" w:cs="宋体"/>
          <w:bCs w:val="0"/>
          <w:kern w:val="0"/>
          <w:szCs w:val="30"/>
          <w:lang w:val="en-US" w:eastAsia="zh-CN" w:bidi="ar"/>
        </w:rPr>
        <w:fldChar w:fldCharType="end"/>
      </w:r>
      <w:r>
        <w:rPr>
          <w:rFonts w:hint="eastAsia" w:ascii="宋体" w:hAnsi="宋体" w:eastAsia="宋体" w:cs="宋体"/>
          <w:bCs w:val="0"/>
          <w:kern w:val="0"/>
          <w:szCs w:val="30"/>
          <w:lang w:val="en-US" w:eastAsia="zh-CN" w:bidi="ar"/>
        </w:rPr>
        <w:fldChar w:fldCharType="end"/>
      </w:r>
    </w:p>
    <w:p>
      <w:pPr>
        <w:pStyle w:val="18"/>
        <w:tabs>
          <w:tab w:val="right" w:leader="dot" w:pos="8306"/>
          <w:tab w:val="clear" w:pos="8296"/>
        </w:tabs>
        <w:rPr>
          <w:rFonts w:hint="eastAsia" w:ascii="宋体" w:hAnsi="宋体" w:eastAsia="宋体" w:cs="宋体"/>
          <w:bCs w:val="0"/>
          <w:kern w:val="0"/>
          <w:szCs w:val="30"/>
          <w:lang w:val="en-US" w:eastAsia="zh-CN" w:bidi="ar"/>
        </w:rPr>
      </w:pPr>
      <w:r>
        <w:rPr>
          <w:rFonts w:hint="eastAsia" w:ascii="宋体" w:hAnsi="宋体" w:eastAsia="宋体" w:cs="宋体"/>
          <w:bCs w:val="0"/>
          <w:kern w:val="0"/>
          <w:szCs w:val="30"/>
          <w:lang w:val="en-US" w:eastAsia="zh-CN" w:bidi="ar"/>
        </w:rPr>
        <w:t>47.</w:t>
      </w: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HYPERLINK \l _Toc21900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工业和信息化部办公厅 财政部办公厅 海关总署办公厅 税务总局办公厅关于公布享受支持科技创新进口税收政策的国家中小企业公共服务示范平台（技术类）（2019年批次及2017年批次复审合格）名单的通知</w:t>
      </w:r>
      <w:r>
        <w:rPr>
          <w:rFonts w:hint="eastAsia" w:ascii="宋体" w:hAnsi="宋体" w:eastAsia="宋体" w:cs="宋体"/>
          <w:bCs w:val="0"/>
          <w:kern w:val="0"/>
          <w:szCs w:val="30"/>
          <w:lang w:val="en-US" w:eastAsia="zh-CN" w:bidi="ar"/>
        </w:rPr>
        <w:tab/>
      </w: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PAGEREF _Toc21900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264</w:t>
      </w:r>
      <w:r>
        <w:rPr>
          <w:rFonts w:hint="eastAsia" w:ascii="宋体" w:hAnsi="宋体" w:eastAsia="宋体" w:cs="宋体"/>
          <w:bCs w:val="0"/>
          <w:kern w:val="0"/>
          <w:szCs w:val="30"/>
          <w:lang w:val="en-US" w:eastAsia="zh-CN" w:bidi="ar"/>
        </w:rPr>
        <w:fldChar w:fldCharType="end"/>
      </w:r>
      <w:r>
        <w:rPr>
          <w:rFonts w:hint="eastAsia" w:ascii="宋体" w:hAnsi="宋体" w:eastAsia="宋体" w:cs="宋体"/>
          <w:bCs w:val="0"/>
          <w:kern w:val="0"/>
          <w:szCs w:val="30"/>
          <w:lang w:val="en-US" w:eastAsia="zh-CN" w:bidi="ar"/>
        </w:rPr>
        <w:fldChar w:fldCharType="end"/>
      </w:r>
    </w:p>
    <w:p>
      <w:pPr>
        <w:pStyle w:val="18"/>
        <w:tabs>
          <w:tab w:val="right" w:leader="dot" w:pos="8306"/>
          <w:tab w:val="clear" w:pos="8296"/>
        </w:tabs>
        <w:rPr>
          <w:rFonts w:hint="eastAsia" w:ascii="宋体" w:hAnsi="宋体" w:eastAsia="宋体" w:cs="宋体"/>
          <w:bCs w:val="0"/>
          <w:kern w:val="0"/>
          <w:szCs w:val="30"/>
          <w:lang w:val="en-US" w:eastAsia="zh-CN" w:bidi="ar"/>
        </w:rPr>
      </w:pP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HYPERLINK \l _Toc25568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工信厅联企业〔2019〕77号</w:t>
      </w:r>
      <w:r>
        <w:rPr>
          <w:rFonts w:hint="eastAsia" w:ascii="宋体" w:hAnsi="宋体" w:eastAsia="宋体" w:cs="宋体"/>
          <w:bCs w:val="0"/>
          <w:kern w:val="0"/>
          <w:szCs w:val="30"/>
          <w:lang w:val="en-US" w:eastAsia="zh-CN" w:bidi="ar"/>
        </w:rPr>
        <w:tab/>
      </w: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PAGEREF _Toc25568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264</w:t>
      </w:r>
      <w:r>
        <w:rPr>
          <w:rFonts w:hint="eastAsia" w:ascii="宋体" w:hAnsi="宋体" w:eastAsia="宋体" w:cs="宋体"/>
          <w:bCs w:val="0"/>
          <w:kern w:val="0"/>
          <w:szCs w:val="30"/>
          <w:lang w:val="en-US" w:eastAsia="zh-CN" w:bidi="ar"/>
        </w:rPr>
        <w:fldChar w:fldCharType="end"/>
      </w:r>
      <w:r>
        <w:rPr>
          <w:rFonts w:hint="eastAsia" w:ascii="宋体" w:hAnsi="宋体" w:eastAsia="宋体" w:cs="宋体"/>
          <w:bCs w:val="0"/>
          <w:kern w:val="0"/>
          <w:szCs w:val="30"/>
          <w:lang w:val="en-US" w:eastAsia="zh-CN" w:bidi="ar"/>
        </w:rPr>
        <w:fldChar w:fldCharType="end"/>
      </w:r>
    </w:p>
    <w:p>
      <w:pPr>
        <w:pStyle w:val="18"/>
        <w:tabs>
          <w:tab w:val="right" w:leader="dot" w:pos="8306"/>
          <w:tab w:val="clear" w:pos="8296"/>
        </w:tabs>
        <w:rPr>
          <w:rFonts w:hint="eastAsia" w:ascii="宋体" w:hAnsi="宋体" w:eastAsia="宋体" w:cs="宋体"/>
          <w:bCs w:val="0"/>
          <w:kern w:val="0"/>
          <w:szCs w:val="30"/>
          <w:lang w:val="en-US" w:eastAsia="zh-CN" w:bidi="ar"/>
        </w:rPr>
      </w:pPr>
      <w:r>
        <w:rPr>
          <w:rFonts w:hint="eastAsia" w:ascii="宋体" w:hAnsi="宋体" w:eastAsia="宋体" w:cs="宋体"/>
          <w:bCs w:val="0"/>
          <w:kern w:val="0"/>
          <w:szCs w:val="30"/>
          <w:lang w:val="en-US" w:eastAsia="zh-CN" w:bidi="ar"/>
        </w:rPr>
        <w:t>48.</w:t>
      </w: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HYPERLINK \l _Toc22569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工业和信息化部关于公布2019年度国家中小企业公共服务示范平台名单的通告</w:t>
      </w:r>
      <w:r>
        <w:rPr>
          <w:rFonts w:hint="eastAsia" w:ascii="宋体" w:hAnsi="宋体" w:eastAsia="宋体" w:cs="宋体"/>
          <w:bCs w:val="0"/>
          <w:kern w:val="0"/>
          <w:szCs w:val="30"/>
          <w:lang w:val="en-US" w:eastAsia="zh-CN" w:bidi="ar"/>
        </w:rPr>
        <w:tab/>
      </w: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PAGEREF _Toc22569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266</w:t>
      </w:r>
      <w:r>
        <w:rPr>
          <w:rFonts w:hint="eastAsia" w:ascii="宋体" w:hAnsi="宋体" w:eastAsia="宋体" w:cs="宋体"/>
          <w:bCs w:val="0"/>
          <w:kern w:val="0"/>
          <w:szCs w:val="30"/>
          <w:lang w:val="en-US" w:eastAsia="zh-CN" w:bidi="ar"/>
        </w:rPr>
        <w:fldChar w:fldCharType="end"/>
      </w:r>
      <w:r>
        <w:rPr>
          <w:rFonts w:hint="eastAsia" w:ascii="宋体" w:hAnsi="宋体" w:eastAsia="宋体" w:cs="宋体"/>
          <w:bCs w:val="0"/>
          <w:kern w:val="0"/>
          <w:szCs w:val="30"/>
          <w:lang w:val="en-US" w:eastAsia="zh-CN" w:bidi="ar"/>
        </w:rPr>
        <w:fldChar w:fldCharType="end"/>
      </w:r>
    </w:p>
    <w:p>
      <w:pPr>
        <w:pStyle w:val="18"/>
        <w:tabs>
          <w:tab w:val="right" w:leader="dot" w:pos="8306"/>
          <w:tab w:val="clear" w:pos="8296"/>
        </w:tabs>
        <w:rPr>
          <w:rFonts w:hint="eastAsia" w:ascii="宋体" w:hAnsi="宋体" w:eastAsia="宋体" w:cs="宋体"/>
          <w:bCs w:val="0"/>
          <w:kern w:val="0"/>
          <w:szCs w:val="30"/>
          <w:lang w:val="en-US" w:eastAsia="zh-CN" w:bidi="ar"/>
        </w:rPr>
      </w:pPr>
      <w:r>
        <w:rPr>
          <w:rFonts w:hint="eastAsia" w:ascii="宋体" w:hAnsi="宋体" w:eastAsia="宋体" w:cs="宋体"/>
          <w:bCs w:val="0"/>
          <w:kern w:val="0"/>
          <w:szCs w:val="30"/>
          <w:lang w:val="en-US" w:eastAsia="zh-CN" w:bidi="ar"/>
        </w:rPr>
        <w:t>49.</w:t>
      </w: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HYPERLINK \l _Toc32372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关于调整完善增值税留抵退税地方分担机制</w:t>
      </w:r>
      <w:r>
        <w:rPr>
          <w:rFonts w:hint="eastAsia" w:ascii="宋体" w:hAnsi="宋体" w:eastAsia="宋体" w:cs="宋体"/>
          <w:bCs w:val="0"/>
          <w:kern w:val="0"/>
          <w:szCs w:val="30"/>
          <w:lang w:val="en-US" w:eastAsia="zh-CN" w:bidi="ar"/>
        </w:rPr>
        <w:t xml:space="preserve"> </w:t>
      </w:r>
      <w:r>
        <w:rPr>
          <w:rFonts w:hint="eastAsia" w:ascii="宋体" w:hAnsi="宋体" w:eastAsia="宋体" w:cs="宋体"/>
          <w:bCs w:val="0"/>
          <w:kern w:val="0"/>
          <w:szCs w:val="30"/>
          <w:lang w:val="en-US" w:eastAsia="zh-CN" w:bidi="ar"/>
        </w:rPr>
        <w:t>及预算管理有关事项的通知</w:t>
      </w:r>
      <w:r>
        <w:rPr>
          <w:rFonts w:hint="eastAsia" w:ascii="宋体" w:hAnsi="宋体" w:eastAsia="宋体" w:cs="宋体"/>
          <w:bCs w:val="0"/>
          <w:kern w:val="0"/>
          <w:szCs w:val="30"/>
          <w:lang w:val="en-US" w:eastAsia="zh-CN" w:bidi="ar"/>
        </w:rPr>
        <w:tab/>
      </w: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PAGEREF _Toc32372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267</w:t>
      </w:r>
      <w:r>
        <w:rPr>
          <w:rFonts w:hint="eastAsia" w:ascii="宋体" w:hAnsi="宋体" w:eastAsia="宋体" w:cs="宋体"/>
          <w:bCs w:val="0"/>
          <w:kern w:val="0"/>
          <w:szCs w:val="30"/>
          <w:lang w:val="en-US" w:eastAsia="zh-CN" w:bidi="ar"/>
        </w:rPr>
        <w:fldChar w:fldCharType="end"/>
      </w:r>
      <w:r>
        <w:rPr>
          <w:rFonts w:hint="eastAsia" w:ascii="宋体" w:hAnsi="宋体" w:eastAsia="宋体" w:cs="宋体"/>
          <w:bCs w:val="0"/>
          <w:kern w:val="0"/>
          <w:szCs w:val="30"/>
          <w:lang w:val="en-US" w:eastAsia="zh-CN" w:bidi="ar"/>
        </w:rPr>
        <w:fldChar w:fldCharType="end"/>
      </w:r>
    </w:p>
    <w:p>
      <w:pPr>
        <w:pStyle w:val="18"/>
        <w:tabs>
          <w:tab w:val="right" w:leader="dot" w:pos="8306"/>
          <w:tab w:val="clear" w:pos="8296"/>
        </w:tabs>
        <w:rPr>
          <w:rFonts w:hint="eastAsia" w:ascii="宋体" w:hAnsi="宋体" w:eastAsia="宋体" w:cs="宋体"/>
          <w:bCs w:val="0"/>
          <w:kern w:val="0"/>
          <w:szCs w:val="30"/>
          <w:lang w:val="en-US" w:eastAsia="zh-CN" w:bidi="ar"/>
        </w:rPr>
      </w:pP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HYPERLINK \l _Toc8016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财预〔2019〕205号</w:t>
      </w:r>
      <w:r>
        <w:rPr>
          <w:rFonts w:hint="eastAsia" w:ascii="宋体" w:hAnsi="宋体" w:eastAsia="宋体" w:cs="宋体"/>
          <w:bCs w:val="0"/>
          <w:kern w:val="0"/>
          <w:szCs w:val="30"/>
          <w:lang w:val="en-US" w:eastAsia="zh-CN" w:bidi="ar"/>
        </w:rPr>
        <w:tab/>
      </w: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PAGEREF _Toc8016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267</w:t>
      </w:r>
      <w:r>
        <w:rPr>
          <w:rFonts w:hint="eastAsia" w:ascii="宋体" w:hAnsi="宋体" w:eastAsia="宋体" w:cs="宋体"/>
          <w:bCs w:val="0"/>
          <w:kern w:val="0"/>
          <w:szCs w:val="30"/>
          <w:lang w:val="en-US" w:eastAsia="zh-CN" w:bidi="ar"/>
        </w:rPr>
        <w:fldChar w:fldCharType="end"/>
      </w:r>
      <w:r>
        <w:rPr>
          <w:rFonts w:hint="eastAsia" w:ascii="宋体" w:hAnsi="宋体" w:eastAsia="宋体" w:cs="宋体"/>
          <w:bCs w:val="0"/>
          <w:kern w:val="0"/>
          <w:szCs w:val="30"/>
          <w:lang w:val="en-US" w:eastAsia="zh-CN" w:bidi="ar"/>
        </w:rPr>
        <w:fldChar w:fldCharType="end"/>
      </w:r>
    </w:p>
    <w:p>
      <w:pPr>
        <w:pStyle w:val="18"/>
        <w:tabs>
          <w:tab w:val="right" w:leader="dot" w:pos="8306"/>
          <w:tab w:val="clear" w:pos="8296"/>
        </w:tabs>
      </w:pPr>
      <w:r>
        <w:rPr>
          <w:rFonts w:hint="eastAsia" w:ascii="宋体" w:hAnsi="宋体" w:eastAsia="宋体" w:cs="宋体"/>
          <w:bCs w:val="0"/>
          <w:kern w:val="0"/>
          <w:szCs w:val="30"/>
          <w:lang w:val="en-US" w:eastAsia="zh-CN" w:bidi="ar"/>
        </w:rPr>
        <w:t>50.信用评级业管理暂行办法</w:t>
      </w: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HYPERLINK \l _Toc27118 </w:instrText>
      </w:r>
      <w:r>
        <w:rPr>
          <w:rFonts w:hint="eastAsia" w:ascii="宋体" w:hAnsi="宋体" w:eastAsia="宋体" w:cs="宋体"/>
          <w:bCs w:val="0"/>
          <w:kern w:val="0"/>
          <w:szCs w:val="30"/>
          <w:lang w:val="en-US" w:eastAsia="zh-CN" w:bidi="ar"/>
        </w:rPr>
        <w:fldChar w:fldCharType="separate"/>
      </w:r>
      <w:r>
        <w:rPr>
          <w:rFonts w:hint="default" w:ascii="宋体" w:hAnsi="宋体" w:eastAsia="宋体" w:cs="宋体"/>
          <w:bCs w:val="0"/>
          <w:kern w:val="0"/>
          <w:szCs w:val="30"/>
          <w:lang w:val="en-US" w:eastAsia="zh-CN" w:bidi="ar"/>
        </w:rPr>
        <w:t>〔2019〕第5号</w:t>
      </w:r>
      <w:r>
        <w:rPr>
          <w:rFonts w:hint="eastAsia" w:ascii="宋体" w:hAnsi="宋体" w:eastAsia="宋体" w:cs="宋体"/>
          <w:bCs w:val="0"/>
          <w:kern w:val="0"/>
          <w:szCs w:val="30"/>
          <w:lang w:val="en-US" w:eastAsia="zh-CN" w:bidi="ar"/>
        </w:rPr>
        <w:tab/>
      </w:r>
      <w:r>
        <w:rPr>
          <w:rFonts w:hint="eastAsia" w:ascii="宋体" w:hAnsi="宋体" w:eastAsia="宋体" w:cs="宋体"/>
          <w:bCs w:val="0"/>
          <w:kern w:val="0"/>
          <w:szCs w:val="30"/>
          <w:lang w:val="en-US" w:eastAsia="zh-CN" w:bidi="ar"/>
        </w:rPr>
        <w:fldChar w:fldCharType="begin"/>
      </w:r>
      <w:r>
        <w:rPr>
          <w:rFonts w:hint="eastAsia" w:ascii="宋体" w:hAnsi="宋体" w:eastAsia="宋体" w:cs="宋体"/>
          <w:bCs w:val="0"/>
          <w:kern w:val="0"/>
          <w:szCs w:val="30"/>
          <w:lang w:val="en-US" w:eastAsia="zh-CN" w:bidi="ar"/>
        </w:rPr>
        <w:instrText xml:space="preserve"> PAGEREF _Toc27118 </w:instrText>
      </w:r>
      <w:r>
        <w:rPr>
          <w:rFonts w:hint="eastAsia" w:ascii="宋体" w:hAnsi="宋体" w:eastAsia="宋体" w:cs="宋体"/>
          <w:bCs w:val="0"/>
          <w:kern w:val="0"/>
          <w:szCs w:val="30"/>
          <w:lang w:val="en-US" w:eastAsia="zh-CN" w:bidi="ar"/>
        </w:rPr>
        <w:fldChar w:fldCharType="separate"/>
      </w:r>
      <w:r>
        <w:rPr>
          <w:rFonts w:hint="eastAsia" w:ascii="宋体" w:hAnsi="宋体" w:eastAsia="宋体" w:cs="宋体"/>
          <w:bCs w:val="0"/>
          <w:kern w:val="0"/>
          <w:szCs w:val="30"/>
          <w:lang w:val="en-US" w:eastAsia="zh-CN" w:bidi="ar"/>
        </w:rPr>
        <w:t>270</w:t>
      </w:r>
      <w:r>
        <w:rPr>
          <w:rFonts w:hint="eastAsia" w:ascii="宋体" w:hAnsi="宋体" w:eastAsia="宋体" w:cs="宋体"/>
          <w:bCs w:val="0"/>
          <w:kern w:val="0"/>
          <w:szCs w:val="30"/>
          <w:lang w:val="en-US" w:eastAsia="zh-CN" w:bidi="ar"/>
        </w:rPr>
        <w:fldChar w:fldCharType="end"/>
      </w:r>
      <w:r>
        <w:rPr>
          <w:rFonts w:hint="eastAsia" w:ascii="宋体" w:hAnsi="宋体" w:eastAsia="宋体" w:cs="宋体"/>
          <w:bCs w:val="0"/>
          <w:kern w:val="0"/>
          <w:szCs w:val="30"/>
          <w:lang w:val="en-US" w:eastAsia="zh-CN" w:bidi="ar"/>
        </w:rPr>
        <w:fldChar w:fldCharType="end"/>
      </w:r>
    </w:p>
    <w:p>
      <w:pPr>
        <w:pStyle w:val="1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Cs/>
          <w:szCs w:val="21"/>
        </w:rPr>
        <w:fldChar w:fldCharType="end"/>
      </w:r>
    </w:p>
    <w:p/>
    <w:p/>
    <w:p/>
    <w:p/>
    <w:p/>
    <w:p/>
    <w:p/>
    <w:p/>
    <w:p/>
    <w:p/>
    <w:p/>
    <w:p/>
    <w:p>
      <w:pPr>
        <w:pStyle w:val="2"/>
        <w:jc w:val="center"/>
        <w:rPr>
          <w:rFonts w:hint="eastAsia" w:ascii="黑体" w:eastAsia="黑体"/>
          <w:sz w:val="52"/>
          <w:szCs w:val="52"/>
        </w:rPr>
      </w:pPr>
      <w:bookmarkStart w:id="0" w:name="_Toc588"/>
      <w:bookmarkStart w:id="1" w:name="_Toc397428674"/>
      <w:bookmarkStart w:id="2" w:name="_Toc32195"/>
    </w:p>
    <w:p>
      <w:pPr>
        <w:pStyle w:val="2"/>
        <w:jc w:val="center"/>
        <w:rPr>
          <w:rFonts w:hint="eastAsia" w:ascii="黑体" w:eastAsia="黑体"/>
          <w:sz w:val="52"/>
          <w:szCs w:val="52"/>
        </w:rPr>
      </w:pPr>
    </w:p>
    <w:p>
      <w:pPr>
        <w:pStyle w:val="2"/>
        <w:jc w:val="center"/>
        <w:rPr>
          <w:rFonts w:hint="eastAsia" w:ascii="黑体" w:eastAsia="黑体"/>
          <w:sz w:val="52"/>
          <w:szCs w:val="52"/>
        </w:rPr>
      </w:pPr>
    </w:p>
    <w:p>
      <w:pPr>
        <w:pStyle w:val="2"/>
        <w:jc w:val="center"/>
        <w:rPr>
          <w:rFonts w:hint="eastAsia" w:ascii="黑体" w:eastAsia="黑体"/>
          <w:sz w:val="52"/>
          <w:szCs w:val="52"/>
        </w:rPr>
      </w:pPr>
    </w:p>
    <w:p>
      <w:pPr>
        <w:pStyle w:val="2"/>
        <w:jc w:val="center"/>
        <w:rPr>
          <w:rFonts w:ascii="黑体" w:eastAsia="黑体"/>
          <w:sz w:val="52"/>
          <w:szCs w:val="52"/>
        </w:rPr>
      </w:pPr>
      <w:r>
        <w:rPr>
          <w:rFonts w:hint="eastAsia" w:ascii="黑体" w:eastAsia="黑体"/>
          <w:sz w:val="52"/>
          <w:szCs w:val="52"/>
        </w:rPr>
        <w:t>国务院文件</w:t>
      </w:r>
      <w:bookmarkEnd w:id="0"/>
      <w:bookmarkEnd w:id="1"/>
      <w:bookmarkEnd w:id="2"/>
    </w:p>
    <w:p/>
    <w:p>
      <w:pPr>
        <w:pStyle w:val="2"/>
        <w:jc w:val="center"/>
        <w:rPr>
          <w:rFonts w:ascii="黑体" w:eastAsia="黑体"/>
          <w:sz w:val="52"/>
          <w:szCs w:val="52"/>
        </w:rPr>
        <w:sectPr>
          <w:pgSz w:w="11906" w:h="16838"/>
          <w:pgMar w:top="1440" w:right="1800" w:bottom="1440" w:left="1800" w:header="851" w:footer="992" w:gutter="0"/>
          <w:cols w:space="720" w:num="1"/>
          <w:docGrid w:type="lines" w:linePitch="312" w:charSpace="0"/>
        </w:sectPr>
      </w:pPr>
    </w:p>
    <w:p>
      <w:pPr>
        <w:pStyle w:val="3"/>
        <w:jc w:val="center"/>
        <w:rPr>
          <w:rFonts w:hint="eastAsia" w:ascii="宋体" w:hAnsi="宋体"/>
          <w:sz w:val="30"/>
          <w:szCs w:val="30"/>
        </w:rPr>
      </w:pPr>
      <w:bookmarkStart w:id="3" w:name="_Toc25220"/>
      <w:bookmarkStart w:id="4" w:name="_Toc3376"/>
      <w:r>
        <w:rPr>
          <w:rFonts w:hint="eastAsia" w:ascii="宋体" w:hAnsi="宋体"/>
          <w:sz w:val="30"/>
          <w:szCs w:val="30"/>
          <w:lang w:val="en-US" w:eastAsia="zh-CN"/>
        </w:rPr>
        <w:t>关于实施小微企业普惠性税收减免政策的通知</w:t>
      </w:r>
      <w:bookmarkEnd w:id="3"/>
      <w:r>
        <w:rPr>
          <w:rFonts w:hint="eastAsia" w:ascii="宋体" w:hAnsi="宋体"/>
          <w:sz w:val="30"/>
          <w:szCs w:val="30"/>
          <w:lang w:val="en-US" w:eastAsia="zh-CN"/>
        </w:rPr>
        <w:t xml:space="preserve"> </w:t>
      </w:r>
    </w:p>
    <w:p>
      <w:pPr>
        <w:rPr>
          <w:vanish/>
          <w:sz w:val="24"/>
          <w:szCs w:val="24"/>
        </w:rPr>
      </w:pPr>
    </w:p>
    <w:p>
      <w:pPr>
        <w:pStyle w:val="3"/>
        <w:jc w:val="center"/>
        <w:rPr>
          <w:rFonts w:hint="eastAsia" w:ascii="宋体" w:hAnsi="宋体"/>
          <w:sz w:val="24"/>
          <w:szCs w:val="24"/>
        </w:rPr>
      </w:pPr>
      <w:bookmarkStart w:id="5" w:name="_Toc7734"/>
      <w:r>
        <w:rPr>
          <w:rFonts w:hint="eastAsia" w:ascii="宋体" w:hAnsi="宋体"/>
          <w:sz w:val="24"/>
          <w:szCs w:val="24"/>
        </w:rPr>
        <w:t>财税〔2019〕13号</w:t>
      </w:r>
      <w:bookmarkEnd w:id="5"/>
    </w:p>
    <w:p>
      <w:pPr>
        <w:pStyle w:val="20"/>
        <w:spacing w:before="0" w:beforeAutospacing="0" w:after="0" w:afterAutospacing="0" w:line="360" w:lineRule="auto"/>
        <w:jc w:val="both"/>
        <w:rPr>
          <w:rFonts w:hint="eastAsia"/>
          <w:sz w:val="21"/>
          <w:szCs w:val="21"/>
        </w:rPr>
      </w:pPr>
      <w:r>
        <w:rPr>
          <w:rFonts w:hint="eastAsia"/>
          <w:sz w:val="21"/>
          <w:szCs w:val="21"/>
        </w:rPr>
        <w:t>各省、自治区、直辖市、计划单列市财政厅（局），新疆生产建设兵团财政局，国家税务总局各省、自治区、直辖市和计划单列市税务局：</w:t>
      </w:r>
    </w:p>
    <w:p>
      <w:pPr>
        <w:pStyle w:val="20"/>
        <w:spacing w:before="0" w:beforeAutospacing="0" w:after="0" w:afterAutospacing="0" w:line="360" w:lineRule="auto"/>
        <w:jc w:val="both"/>
        <w:rPr>
          <w:rFonts w:hint="eastAsia"/>
          <w:sz w:val="21"/>
          <w:szCs w:val="21"/>
        </w:rPr>
      </w:pPr>
      <w:r>
        <w:rPr>
          <w:rFonts w:hint="eastAsia"/>
          <w:sz w:val="21"/>
          <w:szCs w:val="21"/>
        </w:rPr>
        <w:t>　　为贯彻落实党中央、国务院决策部署，进一步支持小微企业发展，现就实施小微企业普惠性税收减免政策有关事项通知如下：</w:t>
      </w:r>
    </w:p>
    <w:p>
      <w:pPr>
        <w:pStyle w:val="20"/>
        <w:spacing w:before="0" w:beforeAutospacing="0" w:after="0" w:afterAutospacing="0" w:line="360" w:lineRule="auto"/>
        <w:jc w:val="both"/>
        <w:rPr>
          <w:rFonts w:hint="eastAsia"/>
          <w:sz w:val="21"/>
          <w:szCs w:val="21"/>
        </w:rPr>
      </w:pPr>
      <w:r>
        <w:rPr>
          <w:rFonts w:hint="eastAsia"/>
          <w:sz w:val="21"/>
          <w:szCs w:val="21"/>
        </w:rPr>
        <w:t>　　一、对月销售额10万元以下（含本数）的增值税小规模纳税人，免征增值税。</w:t>
      </w:r>
    </w:p>
    <w:p>
      <w:pPr>
        <w:pStyle w:val="20"/>
        <w:spacing w:before="0" w:beforeAutospacing="0" w:after="0" w:afterAutospacing="0" w:line="360" w:lineRule="auto"/>
        <w:jc w:val="both"/>
        <w:rPr>
          <w:rFonts w:hint="eastAsia"/>
          <w:sz w:val="21"/>
          <w:szCs w:val="21"/>
        </w:rPr>
      </w:pPr>
      <w:r>
        <w:rPr>
          <w:rFonts w:hint="eastAsia"/>
          <w:sz w:val="21"/>
          <w:szCs w:val="21"/>
        </w:rPr>
        <w:t>　　二、对小型微利企业年应纳税所得额不超过100万元的部分，减按25%计入应纳税所得额，按20%的税率缴纳企业所得税；对年应纳税所得额超过100万元但不超过300万元的部分，减按50%计入应纳税所得额，按20%的税率缴纳企业所得税。</w:t>
      </w:r>
    </w:p>
    <w:p>
      <w:pPr>
        <w:pStyle w:val="20"/>
        <w:spacing w:before="0" w:beforeAutospacing="0" w:after="0" w:afterAutospacing="0" w:line="360" w:lineRule="auto"/>
        <w:jc w:val="both"/>
        <w:rPr>
          <w:rFonts w:hint="eastAsia"/>
          <w:sz w:val="21"/>
          <w:szCs w:val="21"/>
        </w:rPr>
      </w:pPr>
      <w:r>
        <w:rPr>
          <w:rFonts w:hint="eastAsia"/>
          <w:sz w:val="21"/>
          <w:szCs w:val="21"/>
        </w:rPr>
        <w:t>　　上述小型微利企业是指从事国家非限制和禁止行业，且同时符合年度应纳税所得额不超过300万元、从业人数不超过300人、资产总额不超过5000万元等三个条件的企业。</w:t>
      </w:r>
    </w:p>
    <w:p>
      <w:pPr>
        <w:pStyle w:val="20"/>
        <w:spacing w:before="0" w:beforeAutospacing="0" w:after="0" w:afterAutospacing="0" w:line="360" w:lineRule="auto"/>
        <w:jc w:val="both"/>
        <w:rPr>
          <w:rFonts w:hint="eastAsia"/>
          <w:sz w:val="21"/>
          <w:szCs w:val="21"/>
        </w:rPr>
      </w:pPr>
      <w:r>
        <w:rPr>
          <w:rFonts w:hint="eastAsia"/>
          <w:sz w:val="21"/>
          <w:szCs w:val="21"/>
        </w:rPr>
        <w:t>　　从业人数，包括与企业建立劳动关系的职工人数和企业接受的劳务派遣用工人数。所称从业人数和资产总额指标，应按企业全年的季度平均值确定。具体计算公式如下：</w:t>
      </w:r>
    </w:p>
    <w:p>
      <w:pPr>
        <w:pStyle w:val="20"/>
        <w:spacing w:before="0" w:beforeAutospacing="0" w:after="0" w:afterAutospacing="0" w:line="360" w:lineRule="auto"/>
        <w:jc w:val="both"/>
        <w:rPr>
          <w:rFonts w:hint="eastAsia"/>
          <w:sz w:val="21"/>
          <w:szCs w:val="21"/>
        </w:rPr>
      </w:pPr>
      <w:r>
        <w:rPr>
          <w:rFonts w:hint="eastAsia"/>
          <w:sz w:val="21"/>
          <w:szCs w:val="21"/>
        </w:rPr>
        <w:t>　　季度平均值＝（季初值＋季末值）÷2</w:t>
      </w:r>
    </w:p>
    <w:p>
      <w:pPr>
        <w:pStyle w:val="20"/>
        <w:spacing w:before="0" w:beforeAutospacing="0" w:after="0" w:afterAutospacing="0" w:line="360" w:lineRule="auto"/>
        <w:jc w:val="both"/>
        <w:rPr>
          <w:rFonts w:hint="eastAsia"/>
          <w:sz w:val="21"/>
          <w:szCs w:val="21"/>
        </w:rPr>
      </w:pPr>
      <w:r>
        <w:rPr>
          <w:rFonts w:hint="eastAsia"/>
          <w:sz w:val="21"/>
          <w:szCs w:val="21"/>
        </w:rPr>
        <w:t>　　全年季度平均值＝全年各季度平均值之和÷4</w:t>
      </w:r>
    </w:p>
    <w:p>
      <w:pPr>
        <w:pStyle w:val="20"/>
        <w:spacing w:before="0" w:beforeAutospacing="0" w:after="0" w:afterAutospacing="0" w:line="360" w:lineRule="auto"/>
        <w:jc w:val="both"/>
        <w:rPr>
          <w:rFonts w:hint="eastAsia"/>
          <w:sz w:val="21"/>
          <w:szCs w:val="21"/>
        </w:rPr>
      </w:pPr>
      <w:r>
        <w:rPr>
          <w:rFonts w:hint="eastAsia"/>
          <w:sz w:val="21"/>
          <w:szCs w:val="21"/>
        </w:rPr>
        <w:t>　　年度中间开业或者终止经营活动的，以其实际经营期作为一个纳税年度确定上述相关指标。</w:t>
      </w:r>
    </w:p>
    <w:p>
      <w:pPr>
        <w:pStyle w:val="20"/>
        <w:spacing w:before="0" w:beforeAutospacing="0" w:after="0" w:afterAutospacing="0" w:line="360" w:lineRule="auto"/>
        <w:jc w:val="both"/>
        <w:rPr>
          <w:rFonts w:hint="eastAsia"/>
          <w:sz w:val="21"/>
          <w:szCs w:val="21"/>
        </w:rPr>
      </w:pPr>
      <w:r>
        <w:rPr>
          <w:rFonts w:hint="eastAsia"/>
          <w:sz w:val="21"/>
          <w:szCs w:val="21"/>
        </w:rPr>
        <w:t>　　三、由省、自治区、直辖市人民政府根据本地区实际情况，以及宏观调控需要确定，对增值税小规模纳税人可以在50%的税额幅度内减征资源税、城市维护建设税、房产税、城镇土地使用税、印花税（不含证券交易印花税）、耕地占用税和教育费附加、地方教育附加。</w:t>
      </w:r>
    </w:p>
    <w:p>
      <w:pPr>
        <w:pStyle w:val="20"/>
        <w:spacing w:before="0" w:beforeAutospacing="0" w:after="0" w:afterAutospacing="0" w:line="360" w:lineRule="auto"/>
        <w:jc w:val="both"/>
        <w:rPr>
          <w:rFonts w:hint="eastAsia"/>
          <w:sz w:val="21"/>
          <w:szCs w:val="21"/>
        </w:rPr>
      </w:pPr>
      <w:r>
        <w:rPr>
          <w:rFonts w:hint="eastAsia"/>
          <w:sz w:val="21"/>
          <w:szCs w:val="21"/>
        </w:rPr>
        <w:t>　　四、增值税小规模纳税人已依法享受资源税、城市维护建设税、房产税、城镇土地使用税、印花税、耕地占用税、教育费附加、地方教育附加其他优惠政策的，可叠加享受本通知第三条规定的优惠政策。</w:t>
      </w:r>
    </w:p>
    <w:p>
      <w:pPr>
        <w:pStyle w:val="20"/>
        <w:spacing w:before="0" w:beforeAutospacing="0" w:after="0" w:afterAutospacing="0" w:line="360" w:lineRule="auto"/>
        <w:jc w:val="both"/>
        <w:rPr>
          <w:rFonts w:hint="eastAsia"/>
          <w:sz w:val="21"/>
          <w:szCs w:val="21"/>
        </w:rPr>
      </w:pPr>
      <w:r>
        <w:rPr>
          <w:rFonts w:hint="eastAsia"/>
          <w:sz w:val="21"/>
          <w:szCs w:val="21"/>
        </w:rPr>
        <w:t>　　五、《财政部 税务总局关于创业投资企业和天使投资个人有关税收政策的通知》（财税〔2018〕55号）第二条第（一）项关于初创科技型企业条件中的“从业人数不超过200人”调整为“从业人数不超过300人”，“资产总额和年销售收入均不超过3000万元”调整为“资产总额和年销售收入均不超过5000万元”。</w:t>
      </w:r>
    </w:p>
    <w:p>
      <w:pPr>
        <w:pStyle w:val="20"/>
        <w:spacing w:before="0" w:beforeAutospacing="0" w:after="0" w:afterAutospacing="0" w:line="360" w:lineRule="auto"/>
        <w:jc w:val="both"/>
        <w:rPr>
          <w:rFonts w:hint="eastAsia"/>
          <w:sz w:val="21"/>
          <w:szCs w:val="21"/>
        </w:rPr>
      </w:pPr>
      <w:r>
        <w:rPr>
          <w:rFonts w:hint="eastAsia"/>
          <w:sz w:val="21"/>
          <w:szCs w:val="21"/>
        </w:rPr>
        <w:t>　　2019年1月1日至2021年12月31日期间发生的投资，投资满2年且符合本通知规定和财税〔2018〕55号文件规定的其他条件的，可以适用财税〔2018〕55号文件规定的税收政策。</w:t>
      </w:r>
    </w:p>
    <w:p>
      <w:pPr>
        <w:pStyle w:val="20"/>
        <w:spacing w:before="0" w:beforeAutospacing="0" w:after="0" w:afterAutospacing="0" w:line="360" w:lineRule="auto"/>
        <w:jc w:val="both"/>
        <w:rPr>
          <w:rFonts w:hint="eastAsia"/>
          <w:sz w:val="21"/>
          <w:szCs w:val="21"/>
        </w:rPr>
      </w:pPr>
      <w:r>
        <w:rPr>
          <w:rFonts w:hint="eastAsia"/>
          <w:sz w:val="21"/>
          <w:szCs w:val="21"/>
        </w:rPr>
        <w:t>　　2019年1月1日前2年内发生的投资，自2019年1月1日起投资满2年且符合本通知规定和财税〔2018〕55号文件规定的其他条件的，可以适用财税〔2018〕55号文件规定的税收政策。</w:t>
      </w:r>
    </w:p>
    <w:p>
      <w:pPr>
        <w:pStyle w:val="20"/>
        <w:spacing w:before="0" w:beforeAutospacing="0" w:after="0" w:afterAutospacing="0" w:line="360" w:lineRule="auto"/>
        <w:jc w:val="both"/>
        <w:rPr>
          <w:rFonts w:hint="eastAsia"/>
          <w:sz w:val="21"/>
          <w:szCs w:val="21"/>
        </w:rPr>
      </w:pPr>
      <w:r>
        <w:rPr>
          <w:rFonts w:hint="eastAsia"/>
          <w:sz w:val="21"/>
          <w:szCs w:val="21"/>
        </w:rPr>
        <w:t>　　六、本通知执行期限为2019年1月1日至2021年12月31日。《财政部 税务总局关于延续小微企业增值税政策的通知》（财税〔2017〕76号）、《财政部 税务总局关于进一步扩大小型微利企业所得税优惠政策范围的通知》（财税〔2018〕77号）同时废止。</w:t>
      </w:r>
    </w:p>
    <w:p>
      <w:pPr>
        <w:pStyle w:val="20"/>
        <w:spacing w:before="0" w:beforeAutospacing="0" w:after="0" w:afterAutospacing="0" w:line="360" w:lineRule="auto"/>
        <w:jc w:val="both"/>
        <w:rPr>
          <w:rFonts w:hint="eastAsia"/>
          <w:sz w:val="21"/>
          <w:szCs w:val="21"/>
        </w:rPr>
      </w:pPr>
      <w:r>
        <w:rPr>
          <w:rFonts w:hint="eastAsia"/>
          <w:sz w:val="21"/>
          <w:szCs w:val="21"/>
        </w:rPr>
        <w:t>　　七、各级财税部门要切实提高政治站位，深入贯彻落实党中央、国务院减税降费的决策部署，充分认识小微企业普惠性税收减免的重要意义，切实承担起抓落实的主体责任，将其作为一项重大任务，加强组织领导，精心筹划部署，不折不扣落实到位。要加大力度、创新方式，强化宣传辅导，优化纳税服务，增进办税便利，确保纳税人和缴费人实打实享受到减税降费的政策红利。要密切跟踪政策执行情况，加强调查研究，对政策执行中各方反映的突出问题和意见建议，要及时向财政部和税务总局反馈。</w:t>
      </w:r>
    </w:p>
    <w:p>
      <w:pPr>
        <w:pStyle w:val="20"/>
        <w:spacing w:before="0" w:beforeAutospacing="0" w:after="0" w:afterAutospacing="0" w:line="360" w:lineRule="auto"/>
        <w:jc w:val="right"/>
        <w:rPr>
          <w:rFonts w:hint="eastAsia"/>
          <w:sz w:val="21"/>
          <w:szCs w:val="21"/>
        </w:rPr>
      </w:pPr>
      <w:r>
        <w:rPr>
          <w:rFonts w:hint="eastAsia"/>
          <w:sz w:val="21"/>
          <w:szCs w:val="21"/>
        </w:rPr>
        <w:t>　　财政部  税务总局</w:t>
      </w:r>
    </w:p>
    <w:p>
      <w:pPr>
        <w:pStyle w:val="20"/>
        <w:spacing w:before="0" w:beforeAutospacing="0" w:after="0" w:afterAutospacing="0" w:line="360" w:lineRule="auto"/>
        <w:jc w:val="right"/>
        <w:rPr>
          <w:rFonts w:hint="eastAsia"/>
          <w:sz w:val="21"/>
          <w:szCs w:val="21"/>
        </w:rPr>
      </w:pPr>
      <w:r>
        <w:rPr>
          <w:rFonts w:hint="eastAsia"/>
          <w:sz w:val="21"/>
          <w:szCs w:val="21"/>
        </w:rPr>
        <w:t>　　2019年1月17日</w:t>
      </w:r>
    </w:p>
    <w:p>
      <w:pPr>
        <w:jc w:val="center"/>
        <w:rPr>
          <w:rFonts w:hint="eastAsia" w:ascii="宋体" w:hAnsi="宋体" w:eastAsia="宋体" w:cs="宋体"/>
          <w:sz w:val="14"/>
          <w:szCs w:val="14"/>
        </w:rPr>
      </w:pPr>
    </w:p>
    <w:p>
      <w:pPr>
        <w:spacing w:line="432" w:lineRule="auto"/>
        <w:jc w:val="center"/>
        <w:rPr>
          <w:rFonts w:hint="eastAsia" w:ascii="宋体" w:hAnsi="宋体" w:eastAsia="宋体" w:cs="宋体"/>
          <w:sz w:val="14"/>
          <w:szCs w:val="14"/>
        </w:rPr>
      </w:pPr>
    </w:p>
    <w:p>
      <w:pPr>
        <w:pStyle w:val="20"/>
        <w:spacing w:before="0" w:beforeAutospacing="0" w:after="0" w:afterAutospacing="0" w:line="360" w:lineRule="auto"/>
        <w:ind w:firstLine="420" w:firstLineChars="200"/>
        <w:jc w:val="right"/>
        <w:rPr>
          <w:sz w:val="21"/>
          <w:szCs w:val="21"/>
        </w:rPr>
      </w:pPr>
    </w:p>
    <w:p>
      <w:pPr>
        <w:pStyle w:val="3"/>
        <w:jc w:val="center"/>
        <w:rPr>
          <w:rFonts w:hint="eastAsia" w:ascii="宋体" w:hAnsi="宋体"/>
          <w:sz w:val="30"/>
          <w:szCs w:val="30"/>
        </w:rPr>
      </w:pPr>
      <w:bookmarkStart w:id="6" w:name="_Toc12017"/>
      <w:r>
        <w:rPr>
          <w:rFonts w:hint="eastAsia" w:ascii="宋体" w:hAnsi="宋体"/>
          <w:sz w:val="30"/>
          <w:szCs w:val="30"/>
        </w:rPr>
        <w:t>中共中央办公厅 国务院办公厅印发《关于加强金融服务民营企业的若干意见》</w:t>
      </w:r>
      <w:bookmarkEnd w:id="6"/>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民营经济是社会主义市场经济的重要组成部分，在稳定增长、促进创新、增加就业、改善民生等方面发挥着不可替代的作用。党中央、国务院始终高度重视金融服务民营企业工作。各地区各部门及各金融机构认真落实，出台措施，积极支持民营企业融资，取得一定成效，但部分民营企业融资难融资贵问题仍然比较突出。为深入贯彻落实党中央、国务院决策部署，切实加强对民营企业的金融服务，现提出如下意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黑体" w:hAnsi="黑体" w:eastAsia="黑体" w:cs="黑体"/>
          <w:b w:val="0"/>
          <w:bCs/>
          <w:i w:val="0"/>
          <w:caps w:val="0"/>
          <w:color w:val="333333"/>
          <w:spacing w:val="0"/>
          <w:sz w:val="21"/>
          <w:szCs w:val="21"/>
          <w:shd w:val="clear" w:fill="FFFFFF"/>
        </w:rPr>
      </w:pPr>
      <w:r>
        <w:rPr>
          <w:rFonts w:hint="eastAsia" w:ascii="黑体" w:hAnsi="黑体" w:eastAsia="黑体" w:cs="黑体"/>
          <w:b w:val="0"/>
          <w:bCs/>
          <w:i w:val="0"/>
          <w:caps w:val="0"/>
          <w:color w:val="333333"/>
          <w:spacing w:val="0"/>
          <w:sz w:val="21"/>
          <w:szCs w:val="21"/>
          <w:shd w:val="clear" w:fill="FFFFFF"/>
        </w:rPr>
        <w:t>一、总体要求</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一）指导思想。以习近平新时代中国特色社会主义思想为指导，全面贯彻党的十九大和十九届二中、三中全会精神，落实中央经济工作会议和全国金融工作会议要求，坚持基本经济制度，坚持稳中求进工作总基调，围绕全面建成小康社会目标和高质量发展要求，毫不动摇地巩固和发展公有制经济，毫不动摇地鼓励、支持、引导非公有制经济发展，平等对待各类所有制企业，有效缓解民营企业融资难融资贵问题，增强微观主体活力，充分发挥民营企业对经济增长和创造就业的重要支撑作用，促进经济社会平稳健康发展。</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（二）基本原则</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公平公正。坚持对各类所有制经济一视同仁，消除对民营经济的各种隐性壁垒，不断深化金融改革，完善金融服务体系，按照市场化、法治化原则，推动金融资源配置与民营经济在国民经济中发挥的作用更加匹配，保证各类所有制经济依法公平参与市场竞争。</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聚焦难点。坚持问题导向，着力疏通货币政策传导机制，重点解决金融机构对民营企业“不敢贷、不愿贷、不能贷”问题，增强金融机构服务民营企业特别是小微企业的意识和能力，扩大对民营企业的有效金融供给，完善对民营企业的纾困政策措施，支持民营企业持续健康发展，促进实现“六稳”目标。</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压实责任。金融管理部门要切实承担监督、指导责任，财政部门要充分发挥财税政策作用并履行好国有金融资本出资人职责，各相关部门要加强政策支持，督促和引导金融机构不断加强和改进对民营企业的金融服务。各省（自治区、直辖市）政府要认真落实属地管理责任，因地制宜采取措施，促进本地区金融服务民营企业水平进一步提升。金融机构要切实履行服务民营企业第一责任人的职责，让民营企业有实实在在的获得感。</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——标本兼治。在有效缓解当前融资痛点、堵点的同时，精准分析民营企业融资难融资贵背后的制度性、结构性原因，注重优化结构性制度安排，建立健全长效机制，持续提升金融服务民营企业质效。</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三）主要目标。通过综合施策，实现各类所有制企业在融资方面得到平等待遇，确保对民营企业的金融服务得到切实改善，融资规模稳步扩大，融资效率明显提升，融资成本逐步下降并稳定在合理水平，民营企业特别是小微企业融资难融资贵问题得到有效缓解，充分激发民营经济的活力和创造力。</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黑体" w:hAnsi="黑体" w:eastAsia="黑体" w:cs="黑体"/>
          <w:b w:val="0"/>
          <w:bCs/>
          <w:i w:val="0"/>
          <w:caps w:val="0"/>
          <w:color w:val="333333"/>
          <w:spacing w:val="0"/>
          <w:sz w:val="21"/>
          <w:szCs w:val="21"/>
          <w:shd w:val="clear" w:fill="FFFFFF"/>
        </w:rPr>
      </w:pPr>
      <w:r>
        <w:rPr>
          <w:rFonts w:hint="eastAsia" w:ascii="黑体" w:hAnsi="黑体" w:eastAsia="黑体" w:cs="黑体"/>
          <w:b w:val="0"/>
          <w:bCs/>
          <w:i w:val="0"/>
          <w:caps w:val="0"/>
          <w:color w:val="333333"/>
          <w:spacing w:val="0"/>
          <w:sz w:val="21"/>
          <w:szCs w:val="21"/>
          <w:shd w:val="clear" w:fill="FFFFFF"/>
        </w:rPr>
        <w:t>二、加大金融政策支持力度，着力提升对民营企业金融服务的针对性和有效性</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四）实施差别化货币信贷支持政策。合理调整商业银行宏观审慎评估参数，鼓励金融机构增加民营企业、小微企业信贷投放。完善普惠金融定向降准政策。增加再贷款和再贴现额度，把支农支小再贷款和再贴现政策覆盖到包括民营银行在内的符合条件的各类金融机构。加大对民营企业票据融资支持力度，简化贴现业务流程，提高贴现融资效率，及时办理再贴现。加快出台非存款类放贷组织条例。支持民营银行和其他地方法人银行等中小银行发展，加快建设与民营中小微企业需求相匹配的金融服务体系。深化联合授信试点，鼓励银行与民营企业构建中长期银企关系。</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五）加大直接融资支持力度。积极支持符合条件的民营企业扩大直接融资。完善股票发行和再融资制度，加快民营企业首发上市和再融资审核进度。深化上市公司并购重组体制机制改革。结合民营企业合理诉求，研究扩大定向可转债适用范围和发行规模。扩大创新创业债试点，支持非上市、非挂牌民营企业发行私募可转债。抓紧推进在上海证券交易所设立科创板并试点注册制。稳步推进新三板发行与交易制度改革，促进新三板成为创新型民营中小微企业融资的重要平台。支持民营企业债券发行，鼓励金融机构加大民营企业债券投资力度。</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六）提高金融机构服务实体经济能力。支持金融机构通过资本市场补充资本。加快商业银行资本补充债券工具创新，支持通过发行无固定期限资本债券、转股型二级资本债券等创新工具补充资本。从宏观审慎角度对商业银行储备资本等进行逆周期调节。把民营企业、小微企业融资服务质量和规模作为中小商业银行发行股票的重要考量因素。研究取消保险资金开展财务性股权投资行业范围限制，规范实施战略性股权投资。聚焦民营企业融资增信环节，提高信用保险和债券信用增进机构覆盖范围。引导和支持银行加快处置不良资产，将盘活资金重点投向民营企业。</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黑体" w:hAnsi="黑体" w:eastAsia="黑体" w:cs="黑体"/>
          <w:b w:val="0"/>
          <w:bCs/>
          <w:i w:val="0"/>
          <w:caps w:val="0"/>
          <w:color w:val="333333"/>
          <w:spacing w:val="0"/>
          <w:sz w:val="21"/>
          <w:szCs w:val="21"/>
          <w:shd w:val="clear" w:fill="FFFFFF"/>
        </w:rPr>
      </w:pPr>
      <w:r>
        <w:rPr>
          <w:rFonts w:hint="eastAsia" w:ascii="黑体" w:hAnsi="黑体" w:eastAsia="黑体" w:cs="黑体"/>
          <w:b w:val="0"/>
          <w:bCs/>
          <w:i w:val="0"/>
          <w:caps w:val="0"/>
          <w:color w:val="333333"/>
          <w:spacing w:val="0"/>
          <w:sz w:val="21"/>
          <w:szCs w:val="21"/>
          <w:shd w:val="clear" w:fill="FFFFFF"/>
        </w:rPr>
        <w:t>三、强化融资服务基础设施建设，着力破解民营企业信息不对称、信用不充分等问题</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七）从战略高度抓紧抓好信息服务平台建设。依法开放相关信息资源，在确保信息安全前提下，推动数据共享。地方政府依托国家数据共享交换平台体系，抓紧构建完善金融、税务、市场监管、社保、海关、司法等大数据服务平台，实现跨层级跨部门跨地域互联互通。健全优化金融机构与民营企业信息对接机制，实现资金供需双方线上高效对接，让信息“多跑路”，让企业“少跑腿”。发展各类信用服务机构，鼓励信用服务产品开发和创新。支持征信机构、信用评级机构利用公共信息为民营企业提供信用产品及服务。加大守信激励和失信惩戒力度。</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八）采取多种方式健全地方增信体系。发挥国家融资担保基金引领作用，推动各地政府性融资担保体系建设和业务合作。政府出资的融资担保机构应坚持准公共定位，不以营利为目的，逐步减少反担保等要求，对符合条件的可取消反担保。对民营企业和小微企业贷款规模增长快、户数占比高的商业银行，可提高风险分担比例和贷款合作额度。鼓励有条件的地方设立民营企业和小微企业贷款风险补偿专项资金、引导基金或信用保证基金，重点为首贷、转贷、续贷等提供增信服务。研究探索融资担保公司接入人民银行征信系统。</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九）积极推动地方各类股权融资规范发展。积极培育投资于民营科创企业的天使投资、风险投资等早期投资力量，抓紧完善进一步支持创投基金发展的税收政策。规范发展区域性股权市场，构建多元融资、多层细分的股权融资市场。鼓励地方政府大力开展民营企业股权融资辅导培训。</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黑体" w:hAnsi="黑体" w:eastAsia="黑体" w:cs="黑体"/>
          <w:b w:val="0"/>
          <w:bCs/>
          <w:i w:val="0"/>
          <w:caps w:val="0"/>
          <w:color w:val="333333"/>
          <w:spacing w:val="0"/>
          <w:sz w:val="21"/>
          <w:szCs w:val="21"/>
          <w:shd w:val="clear" w:fill="FFFFFF"/>
        </w:rPr>
      </w:pPr>
      <w:r>
        <w:rPr>
          <w:rFonts w:hint="eastAsia" w:ascii="黑体" w:hAnsi="黑体" w:eastAsia="黑体" w:cs="黑体"/>
          <w:b w:val="0"/>
          <w:bCs/>
          <w:i w:val="0"/>
          <w:caps w:val="0"/>
          <w:color w:val="333333"/>
          <w:spacing w:val="0"/>
          <w:sz w:val="21"/>
          <w:szCs w:val="21"/>
          <w:shd w:val="clear" w:fill="FFFFFF"/>
        </w:rPr>
        <w:t>四、完善绩效考核和激励机制，着力疏通民营企业融资堵点</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十）抓紧建立“敢贷、愿贷、能贷”长效机制。商业银行要推动基层分支机构下沉工作重心，提升服务民营企业的内生动力。尽快完善内部绩效考核机制，制定民营企业服务年度目标，加大正向激励力度。对服务民营企业的分支机构和相关人员，重点对其服务企业数量、信贷质量进行综合考核。建立健全尽职免责机制，提高不良贷款考核容忍度。设立内部问责申诉通道，为尽职免责提供机制保障。授信中不得附加以贷转存等任何不合理条件，对相关违规行为一经查实，严肃处理。严厉打击金融信贷领域强行返点等行为，对涉嫌违法犯罪的机构和个人，及时移送司法机关等有关机关依法查处。</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十一）有效提高民营企业融资可获得性。新发放公司类贷款中，民营企业贷款比重应进一步提高。贷款审批中不得对民营企业设置歧视性要求，同等条件下民营企业与国有企业贷款利率和贷款条件保持一致。金融监管部门按法人机构实施差异化考核，形成贷款户数和金额并重的考核机制。发现数据造假的，依法严肃处理相关机构和责任人员。国有控股大型商业银行要主动作为，加强普惠金融事业部建设，落实普惠金融领域专门信贷政策，完善普惠金融业务专项评价机制和绩效考核制度，在提高民营企业融资可获得性和金融服务水平等方面积极发挥“头雁”作用。</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十二）减轻对抵押担保的过度依赖。商业银行要坚持审核第一还款来源，把主业突出、财务稳健、大股东及实际控制人信用良好作为授信主要依据，合理提高信用贷款比重。商业银行要依托产业链核心企业信用、真实交易背景和物流、信息流、资金流闭环，为上下游企业提供无需抵押担保的订单融资、应收应付账款融资。</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十三）提高贷款需求响应速度和审批时效。商业银行要积极运用金融科技支持风险评估与信贷决策，提高授信审批效率。对于贷款到期有续贷需求的，商业银行要提前主动对接。鼓励商业银行开展线上审批操作，各商业银行应结合自身实际，将一定额度信贷业务审批权下放至分支机构；确需集中审批的，要明确内部时限，提高时效。</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十四）增强金融服务民营企业的可持续性。商业银行要遵循经济金融规律，依法合规审慎经营，科学设定信贷计划，不得组织运动式信贷投放。健全信用风险管控机制，不断提升数据治理、客户评级和贷款风险定价能力，强化贷款全生命周期的穿透式风险管理，在有效防范风险前提下加大对民营企业支持力度。加强享受优惠政策低成本资金使用管理，严格监控资金流向，防止被个别机构或个人截留、挪用甚至转手套利，有效防范道德风险。加强金融监管与指导，处理好支持民营企业发展与防范金融风险之间关系。</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黑体" w:hAnsi="黑体" w:eastAsia="黑体" w:cs="黑体"/>
          <w:b w:val="0"/>
          <w:bCs/>
          <w:i w:val="0"/>
          <w:caps w:val="0"/>
          <w:color w:val="333333"/>
          <w:spacing w:val="0"/>
          <w:sz w:val="21"/>
          <w:szCs w:val="21"/>
          <w:shd w:val="clear" w:fill="FFFFFF"/>
        </w:rPr>
      </w:pPr>
      <w:r>
        <w:rPr>
          <w:rFonts w:hint="eastAsia" w:ascii="黑体" w:hAnsi="黑体" w:eastAsia="黑体" w:cs="黑体"/>
          <w:b w:val="0"/>
          <w:bCs/>
          <w:i w:val="0"/>
          <w:caps w:val="0"/>
          <w:color w:val="333333"/>
          <w:spacing w:val="0"/>
          <w:sz w:val="21"/>
          <w:szCs w:val="21"/>
          <w:shd w:val="clear" w:fill="FFFFFF"/>
        </w:rPr>
        <w:t>五、积极支持民营企业融资纾困，着力化解流动性风险并切实维护企业合法权益</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十五）从实际出发帮助遭遇风险事件的企业摆脱困境。加快实施民营企业债券融资支持工具和证券行业支持民营企业发展集合资产管理计划。研究支持民营企业股权融资，鼓励符合条件的私募基金管理人发起设立民营企业发展支持基金。支持资管产品、保险资金依法合规通过监管部门认可的私募股权基金等机构，参与化解处置民营上市公司股票质押风险。对暂时遇到困难的民营企业，金融机构要按照市场化、法治化原则，区别对待，分类采取支持处置措施。</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十六）加快清理拖欠民营企业账款。坚持边界清晰、突出重点、源头治理、循序渐进，运用市场化、法治化手段，抓紧清理政府部门及其所属机构（包括所属事业单位）、大型国有企业（包括政府平台公司）因业务往来与民营企业形成的逾期欠款，确保民营企业有明显获得感。政府部门、大型国有企业特别是中央企业要做重合同、守信用的表率，认真组织清欠，依法依规及时支付各类应付未付账款。要加强政策支持，完善长效机制，严防新增拖欠，切实维护民营企业合法权益。</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十七）企业要主动创造有利于融资的条件。民营企业要依法合规经营，珍惜商业信誉和信用记录。严格区分个人家庭收支与企业生产经营收支，规范会计核算制度，主动做好信息披露。加强自身财务约束，科学安排融资结构，规范关联交易管理。不逃废金融债务，为金融支持提供必要基础条件。</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十八）加强对落地实施的监督检查。各地区各部门及各金融机构要树牢“四个意识”，坚定“四个自信”，坚决做到“两个维护”，坚持问题导向，明确责任，确定时限，狠抓落实。推动第三方机构开展金融服务民营企业政策落实情况评估，提高政策落实透明度。及时总结并向各地提供可复制易推广的成功案例和有效做法。对贯彻执行不力的，要依法依规予以严肃问责，确保各项政策落地落细落实。</w:t>
      </w:r>
    </w:p>
    <w:p>
      <w:pPr>
        <w:pStyle w:val="20"/>
        <w:spacing w:before="0" w:beforeAutospacing="0" w:after="0" w:afterAutospacing="0" w:line="360" w:lineRule="auto"/>
        <w:ind w:left="0" w:leftChars="0" w:firstLine="420" w:firstLineChars="200"/>
        <w:jc w:val="both"/>
        <w:rPr>
          <w:rFonts w:hint="eastAsia"/>
          <w:sz w:val="21"/>
          <w:szCs w:val="21"/>
        </w:rPr>
      </w:pPr>
    </w:p>
    <w:p>
      <w:pPr>
        <w:pStyle w:val="20"/>
        <w:spacing w:before="0" w:beforeAutospacing="0" w:after="0" w:afterAutospacing="0" w:line="360" w:lineRule="auto"/>
        <w:ind w:left="0" w:leftChars="0" w:firstLine="420" w:firstLineChars="200"/>
        <w:jc w:val="both"/>
        <w:rPr>
          <w:rFonts w:hint="eastAsia"/>
          <w:sz w:val="21"/>
          <w:szCs w:val="21"/>
        </w:rPr>
      </w:pPr>
    </w:p>
    <w:p>
      <w:pPr>
        <w:pStyle w:val="3"/>
        <w:jc w:val="center"/>
        <w:rPr>
          <w:rFonts w:hint="eastAsia" w:ascii="宋体" w:hAnsi="宋体"/>
          <w:sz w:val="30"/>
          <w:szCs w:val="30"/>
        </w:rPr>
      </w:pPr>
      <w:bookmarkStart w:id="7" w:name="_Toc27707"/>
      <w:r>
        <w:rPr>
          <w:rFonts w:hint="eastAsia" w:ascii="宋体" w:hAnsi="宋体"/>
          <w:sz w:val="30"/>
          <w:szCs w:val="30"/>
        </w:rPr>
        <w:t>国务院办公厅关于有效发挥政府性融资担保基金作用切实支持小微企业和“三农”发展的指导意见</w:t>
      </w:r>
      <w:bookmarkEnd w:id="7"/>
    </w:p>
    <w:p>
      <w:pPr>
        <w:pStyle w:val="3"/>
        <w:jc w:val="center"/>
        <w:rPr>
          <w:rFonts w:hint="eastAsia" w:ascii="宋体" w:hAnsi="宋体"/>
          <w:sz w:val="24"/>
          <w:szCs w:val="24"/>
        </w:rPr>
      </w:pPr>
      <w:bookmarkStart w:id="8" w:name="_Toc24314"/>
      <w:bookmarkStart w:id="9" w:name="_Toc29982"/>
      <w:r>
        <w:rPr>
          <w:rFonts w:hint="eastAsia" w:ascii="宋体" w:hAnsi="宋体"/>
          <w:sz w:val="24"/>
          <w:szCs w:val="24"/>
        </w:rPr>
        <w:t>国办发〔2019〕6号</w:t>
      </w:r>
      <w:bookmarkEnd w:id="8"/>
      <w:bookmarkEnd w:id="9"/>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9"/>
          <w:szCs w:val="19"/>
        </w:rPr>
      </w:pPr>
    </w:p>
    <w:p>
      <w:pPr>
        <w:pStyle w:val="20"/>
        <w:spacing w:before="0" w:beforeAutospacing="0" w:after="0" w:afterAutospacing="0" w:line="360" w:lineRule="auto"/>
        <w:jc w:val="both"/>
        <w:rPr>
          <w:rFonts w:hint="eastAsia"/>
          <w:sz w:val="21"/>
          <w:szCs w:val="21"/>
        </w:rPr>
      </w:pPr>
      <w:r>
        <w:rPr>
          <w:rFonts w:hint="eastAsia"/>
          <w:sz w:val="21"/>
          <w:szCs w:val="21"/>
        </w:rPr>
        <w:t>各省、自治区、直辖市人民政府，国务院各部委、各直属机构：</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近年来，各地区、各部门认真贯彻落实《国务院关于促进融资担保行业加快发展的意见》（国发〔2015〕43号），按照全国金融工作会议关于设立国家和地方融资担保基金、完善政府性融资担保和再担保体系等要求，进行了积极探索，推动政府性融资担保基金（机构）不断发展壮大。但融资担保行业还存在业务聚焦不够、担保能力不强、银担合作不畅、风险分担补偿机制有待健全等问题。为进一步发挥政府性融资担保基金作用，引导更多金融资源支持小微企业和“三农”发展，经国务院同意，现提出以下意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黑体" w:hAnsi="黑体" w:eastAsia="黑体" w:cs="黑体"/>
          <w:b w:val="0"/>
          <w:bCs/>
          <w:i w:val="0"/>
          <w:caps w:val="0"/>
          <w:color w:val="333333"/>
          <w:spacing w:val="0"/>
          <w:sz w:val="21"/>
          <w:szCs w:val="21"/>
          <w:shd w:val="clear" w:fill="FFFFFF"/>
        </w:rPr>
      </w:pPr>
      <w:r>
        <w:rPr>
          <w:rFonts w:hint="eastAsia" w:ascii="黑体" w:hAnsi="黑体" w:eastAsia="黑体" w:cs="黑体"/>
          <w:b w:val="0"/>
          <w:bCs/>
          <w:i w:val="0"/>
          <w:caps w:val="0"/>
          <w:color w:val="333333"/>
          <w:spacing w:val="0"/>
          <w:sz w:val="21"/>
          <w:szCs w:val="21"/>
          <w:shd w:val="clear" w:fill="FFFFFF"/>
        </w:rPr>
        <w:t>一、总体要求</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ascii="楷体" w:hAnsi="楷体" w:eastAsia="楷体" w:cs="楷体"/>
          <w:sz w:val="21"/>
          <w:szCs w:val="21"/>
        </w:rPr>
        <w:t>（一）指导思想。</w:t>
      </w:r>
      <w:r>
        <w:rPr>
          <w:rFonts w:hint="eastAsia"/>
          <w:sz w:val="21"/>
          <w:szCs w:val="21"/>
        </w:rPr>
        <w:t>以习近平新时代中国特色社会主义思想为指导，全面贯彻党的十九大和十九届二中、三中全会精神，坚持和加强党的全面领导，坚持稳中求进工作总基调，坚持新发展理念，紧扣我国社会主要矛盾变化，按照高质量发展要求，紧紧围绕统筹推进“五位一体”总体布局和协调推进“四个全面”战略布局，坚持以供给侧结构性改革为主线，规范政府性融资担保基金运作，坚守政府性融资担保机构的准公共定位，弥补市场不足，降低担保服务门槛，着力缓解小微企业、“三农”等普惠领域融资难、融资贵，支持发展战略性新兴产业，促进大众创业、万众创新。</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ascii="楷体" w:hAnsi="楷体" w:eastAsia="楷体" w:cs="楷体"/>
          <w:sz w:val="21"/>
          <w:szCs w:val="21"/>
        </w:rPr>
        <w:t>（二）基本原则。</w:t>
      </w:r>
      <w:r>
        <w:rPr>
          <w:rFonts w:hint="eastAsia"/>
          <w:sz w:val="21"/>
          <w:szCs w:val="21"/>
        </w:rPr>
        <w:t>聚焦支小支农主业。政府性融资担保、再担保机构要严格以小微企业和“三农”融资担保业务为主业，支持符合条件的战略性新兴产业项目，不断提高支小支农担保业务规模和占比，服务大众创业、万众创新，不得偏离主业盲目扩大业务范围，不得为政府债券发行提供担保，不得为政府融资平台融资提供增信，不得向非融资担保机构进行股权投资。</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坚持保本微利运行。政府性融资担保、再担保机构不以营利为目的，在可持续经营的前提下，保持较低费率水平，切实有效降低小微企业和“三农”综合融资成本。</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落实风险分担补偿。构建政府性融资担保机构和银行业金融机构共同参与、合理分险的银担合作机制。优化政府支持、正向激励的资金补充和风险补偿机制。</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凝聚担保机构合力。加强各级政府性融资担保、再担保机构业务合作和资源共享，不断增强资本实力和业务拓展能力，聚力引导金融机构不断加大支小支农贷款投放。</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黑体" w:hAnsi="黑体" w:eastAsia="黑体" w:cs="黑体"/>
          <w:b w:val="0"/>
          <w:bCs/>
          <w:i w:val="0"/>
          <w:caps w:val="0"/>
          <w:color w:val="333333"/>
          <w:spacing w:val="0"/>
          <w:sz w:val="21"/>
          <w:szCs w:val="21"/>
          <w:shd w:val="clear" w:fill="FFFFFF"/>
        </w:rPr>
      </w:pPr>
      <w:r>
        <w:rPr>
          <w:rFonts w:hint="eastAsia" w:ascii="黑体" w:hAnsi="黑体" w:eastAsia="黑体" w:cs="黑体"/>
          <w:b w:val="0"/>
          <w:bCs/>
          <w:i w:val="0"/>
          <w:caps w:val="0"/>
          <w:color w:val="333333"/>
          <w:spacing w:val="0"/>
          <w:sz w:val="21"/>
          <w:szCs w:val="21"/>
          <w:shd w:val="clear" w:fill="FFFFFF"/>
        </w:rPr>
        <w:t>二、坚持聚焦支小支农融资担保业务</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ascii="楷体" w:hAnsi="楷体" w:eastAsia="楷体" w:cs="楷体"/>
          <w:sz w:val="21"/>
          <w:szCs w:val="21"/>
        </w:rPr>
        <w:t>（三）明确支持范围。</w:t>
      </w:r>
      <w:r>
        <w:rPr>
          <w:rFonts w:hint="eastAsia"/>
          <w:sz w:val="21"/>
          <w:szCs w:val="21"/>
        </w:rPr>
        <w:t>各级政府性融资担保、再担保机构要合理界定服务对象范围，聚焦小微企业、个体工商户、农户、新型农业经营主体等小微企业和“三农”主体，以及符合条件的战略性新兴产业企业。其中，小微企业认定标准按照中小企业划型标准有关规定执行，农户认定标准按照支持小微企业融资税收政策有关规定执行。</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ascii="楷体" w:hAnsi="楷体" w:eastAsia="楷体" w:cs="楷体"/>
          <w:sz w:val="21"/>
          <w:szCs w:val="21"/>
        </w:rPr>
        <w:t>（四）聚焦重点对象。</w:t>
      </w:r>
      <w:r>
        <w:rPr>
          <w:rFonts w:hint="eastAsia"/>
          <w:sz w:val="21"/>
          <w:szCs w:val="21"/>
        </w:rPr>
        <w:t>各级政府性融资担保、再担保机构要重点支持单户担保金额500万元及以下的小微企业和“三农”主体，优先为贷款信用记录和有效抵质押品不足但产品有市场、项目有前景、技术有竞争力的小微企业和“三农”主体融资提供担保增信。</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ascii="楷体" w:hAnsi="楷体" w:eastAsia="楷体" w:cs="楷体"/>
          <w:sz w:val="21"/>
          <w:szCs w:val="21"/>
        </w:rPr>
        <w:t>（五）回归担保主业。</w:t>
      </w:r>
      <w:r>
        <w:rPr>
          <w:rFonts w:hint="eastAsia"/>
          <w:sz w:val="21"/>
          <w:szCs w:val="21"/>
        </w:rPr>
        <w:t>各级政府性融资担保、再担保机构要坚守支小支农融资担保主业，主动剥离政府债券发行和政府融资平台融资担保业务，严格控制闲置资金运作规模和风险，不得向非融资担保机构进行股权投资，逐步压缩大中型企业担保业务规模，确保支小支农担保业务占比达到80%以上。</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ascii="楷体" w:hAnsi="楷体" w:eastAsia="楷体" w:cs="楷体"/>
          <w:sz w:val="21"/>
          <w:szCs w:val="21"/>
        </w:rPr>
        <w:t>（六）加强业务引导。</w:t>
      </w:r>
      <w:r>
        <w:rPr>
          <w:rFonts w:hint="eastAsia"/>
          <w:sz w:val="21"/>
          <w:szCs w:val="21"/>
        </w:rPr>
        <w:t>国家融资担保基金和省级担保、再担保基金（机构）要合理设置合作机构准入条件，带动合作机构逐步提高支小支农担保业务规模和占比。合作机构支小支农担保金额占全部担保金额的比例不得低于80%，其中单户担保金额500万元及以下的占比不得低于50%。</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ascii="楷体" w:hAnsi="楷体" w:eastAsia="楷体" w:cs="楷体"/>
          <w:sz w:val="21"/>
          <w:szCs w:val="21"/>
        </w:rPr>
        <w:t>（七）发挥再担保功能。</w:t>
      </w:r>
      <w:r>
        <w:rPr>
          <w:rFonts w:hint="eastAsia"/>
          <w:sz w:val="21"/>
          <w:szCs w:val="21"/>
        </w:rPr>
        <w:t>国家融资担保基金和省级担保、再担保基金（机构）要积极为符合条件的融资担保业务提供再担保，向符合条件的担保、再担保机构注资，充分发挥增信分险作用。不得为防止资金闲置而降低合作条件标准，不得为追求稳定回报而偏离主业。</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黑体" w:hAnsi="黑体" w:eastAsia="黑体" w:cs="黑体"/>
          <w:b w:val="0"/>
          <w:bCs/>
          <w:i w:val="0"/>
          <w:caps w:val="0"/>
          <w:color w:val="333333"/>
          <w:spacing w:val="0"/>
          <w:sz w:val="21"/>
          <w:szCs w:val="21"/>
          <w:shd w:val="clear" w:fill="FFFFFF"/>
        </w:rPr>
      </w:pPr>
      <w:r>
        <w:rPr>
          <w:rFonts w:hint="eastAsia" w:ascii="黑体" w:hAnsi="黑体" w:eastAsia="黑体" w:cs="黑体"/>
          <w:b w:val="0"/>
          <w:bCs/>
          <w:i w:val="0"/>
          <w:caps w:val="0"/>
          <w:color w:val="333333"/>
          <w:spacing w:val="0"/>
          <w:sz w:val="21"/>
          <w:szCs w:val="21"/>
          <w:shd w:val="clear" w:fill="FFFFFF"/>
        </w:rPr>
        <w:t>三、切实降低小微企业和“三农”综合融资成本</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ascii="楷体" w:hAnsi="楷体" w:eastAsia="楷体" w:cs="楷体"/>
          <w:sz w:val="21"/>
          <w:szCs w:val="21"/>
        </w:rPr>
        <w:t>（八）引导降费让利。</w:t>
      </w:r>
      <w:r>
        <w:rPr>
          <w:rFonts w:hint="eastAsia"/>
          <w:sz w:val="21"/>
          <w:szCs w:val="21"/>
        </w:rPr>
        <w:t>各级政府性融资担保、再担保机构要在可持续经营的前提下，适时调降再担保费率，引导合作机构逐步将平均担保费率降至1%以下。其中，对单户担保金额500万元及以下的小微企业和“三农”主体收取的担保费率原则上不超过1%，对单户担保金额500万元以上的小微企业和“三农”主体收取的担保费率原则上不超过1.5%。</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ascii="楷体" w:hAnsi="楷体" w:eastAsia="楷体" w:cs="楷体"/>
          <w:sz w:val="21"/>
          <w:szCs w:val="21"/>
        </w:rPr>
        <w:t>（九）实行差别费率。</w:t>
      </w:r>
      <w:r>
        <w:rPr>
          <w:rFonts w:hint="eastAsia"/>
          <w:sz w:val="21"/>
          <w:szCs w:val="21"/>
        </w:rPr>
        <w:t>国家融资担保基金再担保业务收费一般不高于省级担保、再担保基金（机构），单户担保金额500万元以上的再担保业务收费，原则上不高于承担风险责任的0.5%，单户担保金额500万元及以下的再担保业务收费，原则上不高于承担风险责任的0.3%。优先与费率较低的融资担保、再担保机构开展合作。对于担保业务规模增长较快、代偿率较低的合作机构，可以适当返还再担保费。</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ascii="楷体" w:hAnsi="楷体" w:eastAsia="楷体" w:cs="楷体"/>
          <w:sz w:val="21"/>
          <w:szCs w:val="21"/>
        </w:rPr>
        <w:t>（十）清理规范收费。</w:t>
      </w:r>
      <w:r>
        <w:rPr>
          <w:rFonts w:hint="eastAsia"/>
          <w:sz w:val="21"/>
          <w:szCs w:val="21"/>
        </w:rPr>
        <w:t>规范银行业金融机构和融资担保、再担保机构的收费行为，除贷款利息和担保费外，不得以保证金、承诺费、咨询费、顾问费、注册费、资料费等名义收取不合理费用，避免加重企业负担。</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黑体" w:hAnsi="黑体" w:eastAsia="黑体" w:cs="黑体"/>
          <w:b w:val="0"/>
          <w:bCs/>
          <w:i w:val="0"/>
          <w:caps w:val="0"/>
          <w:color w:val="333333"/>
          <w:spacing w:val="0"/>
          <w:sz w:val="21"/>
          <w:szCs w:val="21"/>
          <w:shd w:val="clear" w:fill="FFFFFF"/>
        </w:rPr>
      </w:pPr>
      <w:r>
        <w:rPr>
          <w:rFonts w:hint="eastAsia" w:ascii="黑体" w:hAnsi="黑体" w:eastAsia="黑体" w:cs="黑体"/>
          <w:b w:val="0"/>
          <w:bCs/>
          <w:i w:val="0"/>
          <w:caps w:val="0"/>
          <w:color w:val="333333"/>
          <w:spacing w:val="0"/>
          <w:sz w:val="21"/>
          <w:szCs w:val="21"/>
          <w:shd w:val="clear" w:fill="FFFFFF"/>
        </w:rPr>
        <w:t>四、完善银担合作机制</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ascii="楷体" w:hAnsi="楷体" w:eastAsia="楷体" w:cs="楷体"/>
          <w:sz w:val="21"/>
          <w:szCs w:val="21"/>
        </w:rPr>
        <w:t>（十一）明确风险分担比例。</w:t>
      </w:r>
      <w:r>
        <w:rPr>
          <w:rFonts w:hint="eastAsia"/>
          <w:sz w:val="21"/>
          <w:szCs w:val="21"/>
        </w:rPr>
        <w:t>银担合作各方要协商确定融资担保业务风险分担比例。原则上国家融资担保基金和银行业金融机构承担的风险责任比例均不低于20%，省级担保、再担保基金（机构）承担的风险责任比例不低于国家融资担保基金承担的比例。对于贷款规模增长快、小微企业和“三农”主体户数占比大的银行业金融机构，国家和地方融资担保基金可以提高自身承担的风险责任比例或扩大合作贷款规模。</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ascii="楷体" w:hAnsi="楷体" w:eastAsia="楷体" w:cs="楷体"/>
          <w:sz w:val="21"/>
          <w:szCs w:val="21"/>
        </w:rPr>
        <w:t>（十二）加强“总对总”合作。</w:t>
      </w:r>
      <w:r>
        <w:rPr>
          <w:rFonts w:hint="eastAsia"/>
          <w:sz w:val="21"/>
          <w:szCs w:val="21"/>
        </w:rPr>
        <w:t>国家融资担保基金要推动与全国性银行业金融机构的“总对总”合作，引导银行业金融机构扩大分支机构审批权限并在授信额度、担保放大倍数、利率水平、续贷条件等方面提供更多优惠。省级担保、再担保基金（机构）要推动辖内融资担保机构与银行业金融机构的“总对总”合作，落实银担合作条件，夯实银担合作基础。</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ascii="楷体" w:hAnsi="楷体" w:eastAsia="楷体" w:cs="楷体"/>
          <w:sz w:val="21"/>
          <w:szCs w:val="21"/>
        </w:rPr>
        <w:t>（十三）落实银担责任。</w:t>
      </w:r>
      <w:r>
        <w:rPr>
          <w:rFonts w:hint="eastAsia"/>
          <w:sz w:val="21"/>
          <w:szCs w:val="21"/>
        </w:rPr>
        <w:t>银担合作各方要细化业务准入和担保代偿条件，明确代偿追偿责任，强化担保贷款风险识别与防控。银行业金融机构要按照勤勉尽职原则，落实贷前审查和贷中贷后管理责任。各级政府性融资担保机构要按照“先代偿、后分险”原则，落实代偿和分险责任。</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ascii="楷体" w:hAnsi="楷体" w:eastAsia="楷体" w:cs="楷体"/>
          <w:sz w:val="21"/>
          <w:szCs w:val="21"/>
        </w:rPr>
        <w:t>（十四）实施跟踪评估。</w:t>
      </w:r>
      <w:r>
        <w:rPr>
          <w:rFonts w:hint="eastAsia"/>
          <w:sz w:val="21"/>
          <w:szCs w:val="21"/>
        </w:rPr>
        <w:t>各级政府性融资担保机构要对合作银行业金融机构进行定期评估，重点关注其推荐担保业务的数量和规模、担保对象存活率、代偿率以及贷款风险管理等情况，作为开展银担合作的重要参考。</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黑体" w:hAnsi="黑体" w:eastAsia="黑体" w:cs="黑体"/>
          <w:b w:val="0"/>
          <w:bCs/>
          <w:i w:val="0"/>
          <w:caps w:val="0"/>
          <w:color w:val="333333"/>
          <w:spacing w:val="0"/>
          <w:sz w:val="21"/>
          <w:szCs w:val="21"/>
          <w:shd w:val="clear" w:fill="FFFFFF"/>
        </w:rPr>
      </w:pPr>
      <w:r>
        <w:rPr>
          <w:rFonts w:hint="eastAsia" w:ascii="黑体" w:hAnsi="黑体" w:eastAsia="黑体" w:cs="黑体"/>
          <w:b w:val="0"/>
          <w:bCs/>
          <w:i w:val="0"/>
          <w:caps w:val="0"/>
          <w:color w:val="333333"/>
          <w:spacing w:val="0"/>
          <w:sz w:val="21"/>
          <w:szCs w:val="21"/>
          <w:shd w:val="clear" w:fill="FFFFFF"/>
        </w:rPr>
        <w:t>五、强化财税正向激励</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ascii="楷体" w:hAnsi="楷体" w:eastAsia="楷体" w:cs="楷体"/>
          <w:sz w:val="21"/>
          <w:szCs w:val="21"/>
        </w:rPr>
        <w:t>（十五）加大奖补支持力度。</w:t>
      </w:r>
      <w:r>
        <w:rPr>
          <w:rFonts w:hint="eastAsia"/>
          <w:sz w:val="21"/>
          <w:szCs w:val="21"/>
        </w:rPr>
        <w:t>中央财政要对扩大实体经济领域小微企业融资担保业务规模、降低小微企业融资担保费率等工作成效明显的地方予以奖补激励。有条件的地方可对单户担保金额500万元及以下、平均担保费率不超过1%的担保业务给予适当担保费补贴，提升融资担保机构可持续经营能力。</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ascii="楷体" w:hAnsi="楷体" w:eastAsia="楷体" w:cs="楷体"/>
          <w:sz w:val="21"/>
          <w:szCs w:val="21"/>
        </w:rPr>
        <w:t>（十六）完善资金补充机制。</w:t>
      </w:r>
      <w:r>
        <w:rPr>
          <w:rFonts w:hint="eastAsia"/>
          <w:sz w:val="21"/>
          <w:szCs w:val="21"/>
        </w:rPr>
        <w:t>探索建立政府、金融机构、企业、社会团体和个人广泛参与，出资入股与无偿捐资相结合的多元化资金补充机制。中央财政要根据国家融资担保基金的业务拓展、担保代偿和绩效考核等情况，适时对其进行资金补充。鼓励地方政府和参与银担合作的银行业金融机构根据融资担保、再担保机构支小支农业务拓展和放大倍数等情况，适时向符合条件的机构注资、捐资。鼓励各类主体对政府性融资担保、再担保机构进行捐赠。</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ascii="楷体" w:hAnsi="楷体" w:eastAsia="楷体" w:cs="楷体"/>
          <w:sz w:val="21"/>
          <w:szCs w:val="21"/>
        </w:rPr>
        <w:t>（十七）探索风险补偿机制。</w:t>
      </w:r>
      <w:r>
        <w:rPr>
          <w:rFonts w:hint="eastAsia"/>
          <w:sz w:val="21"/>
          <w:szCs w:val="21"/>
        </w:rPr>
        <w:t>鼓励有条件的地方探索建立风险补偿机制，对支小支农担保业务占比较高，在保余额、户数增长较快，代偿率控制在合理区间的融资担保、再担保机构，给予一定比例的代偿补偿。</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ascii="楷体" w:hAnsi="楷体" w:eastAsia="楷体" w:cs="楷体"/>
          <w:sz w:val="21"/>
          <w:szCs w:val="21"/>
        </w:rPr>
        <w:t>（十八）落实扶持政策。</w:t>
      </w:r>
      <w:r>
        <w:rPr>
          <w:rFonts w:hint="eastAsia"/>
          <w:sz w:val="21"/>
          <w:szCs w:val="21"/>
        </w:rPr>
        <w:t>国家融资担保基金，省级担保、再担保基金（机构）以及融资担保、再担保机构的代偿损失核销，参照金融企业呆账核销管理办法有关规定执行。符合条件的融资担保、再担保机构的担保赔偿准备金和未到期责任准备金企业所得税税前扣除，按照中小企业融资（信用）担保机构准备金企业所得税税前扣除政策执行。</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黑体" w:hAnsi="黑体" w:eastAsia="黑体" w:cs="黑体"/>
          <w:b w:val="0"/>
          <w:bCs/>
          <w:i w:val="0"/>
          <w:caps w:val="0"/>
          <w:color w:val="333333"/>
          <w:spacing w:val="0"/>
          <w:sz w:val="21"/>
          <w:szCs w:val="21"/>
          <w:shd w:val="clear" w:fill="FFFFFF"/>
        </w:rPr>
      </w:pPr>
      <w:r>
        <w:rPr>
          <w:rFonts w:hint="eastAsia" w:ascii="黑体" w:hAnsi="黑体" w:eastAsia="黑体" w:cs="黑体"/>
          <w:b w:val="0"/>
          <w:bCs/>
          <w:i w:val="0"/>
          <w:caps w:val="0"/>
          <w:color w:val="333333"/>
          <w:spacing w:val="0"/>
          <w:sz w:val="21"/>
          <w:szCs w:val="21"/>
          <w:shd w:val="clear" w:fill="FFFFFF"/>
        </w:rPr>
        <w:t>六、构建上下联动机制</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ascii="楷体" w:hAnsi="楷体" w:eastAsia="楷体" w:cs="楷体"/>
          <w:sz w:val="21"/>
          <w:szCs w:val="21"/>
        </w:rPr>
        <w:t>（十九）推进机构建设。</w:t>
      </w:r>
      <w:r>
        <w:rPr>
          <w:rFonts w:hint="eastAsia"/>
          <w:sz w:val="21"/>
          <w:szCs w:val="21"/>
        </w:rPr>
        <w:t>国家融资担保基金要充分依托现有政府性融资担保机构开展业务，主要通过再担保、股权投资等方式与省、市、县融资担保、再担保机构开展合作，避免层层下设机构。鼓励通过政府注资、兼并重组等方式加快培育省级担保、再担保基金（机构），原则上每个省（自治区、直辖市）培育一家在资本实力、业务规模和风险管控等方面优势突出的龙头机构。加快发展市、县两级融资担保机构，争取三年内实现政府性融资担保业务市级全覆盖，并向经济相对发达、小微企业和“三农”主体融资需求旺盛的县（区）延伸。</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ascii="楷体" w:hAnsi="楷体" w:eastAsia="楷体" w:cs="楷体"/>
          <w:sz w:val="21"/>
          <w:szCs w:val="21"/>
        </w:rPr>
        <w:t>（二十）加强协同配合。</w:t>
      </w:r>
      <w:r>
        <w:rPr>
          <w:rFonts w:hint="eastAsia"/>
          <w:sz w:val="21"/>
          <w:szCs w:val="21"/>
        </w:rPr>
        <w:t>国家融资担保基金和省级担保、再担保基金（机构）要加强对市、县融资担保机构的业务培训和技术支持，提升辅导企业发展能力，推行统一的业务标准和管理要求，促进业务合作和资源共享。市、县融资担保机构要主动强化与国家融资担保基金和省级担保、再担保基金（机构）的对标，提高业务对接效率，做实资本、做强机构、做精业务、严控风险，不断提升规范运作水平。</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黑体" w:hAnsi="黑体" w:eastAsia="黑体" w:cs="黑体"/>
          <w:b w:val="0"/>
          <w:bCs/>
          <w:i w:val="0"/>
          <w:caps w:val="0"/>
          <w:color w:val="333333"/>
          <w:spacing w:val="0"/>
          <w:sz w:val="21"/>
          <w:szCs w:val="21"/>
          <w:shd w:val="clear" w:fill="FFFFFF"/>
        </w:rPr>
      </w:pPr>
      <w:r>
        <w:rPr>
          <w:rFonts w:hint="eastAsia" w:ascii="黑体" w:hAnsi="黑体" w:eastAsia="黑体" w:cs="黑体"/>
          <w:b w:val="0"/>
          <w:bCs/>
          <w:i w:val="0"/>
          <w:caps w:val="0"/>
          <w:color w:val="333333"/>
          <w:spacing w:val="0"/>
          <w:sz w:val="21"/>
          <w:szCs w:val="21"/>
          <w:shd w:val="clear" w:fill="FFFFFF"/>
        </w:rPr>
        <w:t>七、逐级放大增信效应</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ascii="楷体" w:hAnsi="楷体" w:eastAsia="楷体" w:cs="楷体"/>
          <w:sz w:val="21"/>
          <w:szCs w:val="21"/>
        </w:rPr>
        <w:t>（二十一）营造发展环境。</w:t>
      </w:r>
      <w:r>
        <w:rPr>
          <w:rFonts w:hint="eastAsia"/>
          <w:sz w:val="21"/>
          <w:szCs w:val="21"/>
        </w:rPr>
        <w:t>县级以上地方人民政府要落实政府性融资担保、再担保机构的属地管理责任和出资人职责，推进社会信用体系建设，强化守信激励和失信惩戒，严厉打击逃废债行为，为小微企业和“三农”主体融资营造良好信用环境。要维护政府性融资担保、再担保机构的独立市场主体地位，不得干预其日常经营决策。完善风险预警和应急处置机制，切实加强区域风险防控。</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ascii="楷体" w:hAnsi="楷体" w:eastAsia="楷体" w:cs="楷体"/>
          <w:sz w:val="21"/>
          <w:szCs w:val="21"/>
        </w:rPr>
        <w:t>（二十二）简化担保要求。</w:t>
      </w:r>
      <w:r>
        <w:rPr>
          <w:rFonts w:hint="eastAsia"/>
          <w:sz w:val="21"/>
          <w:szCs w:val="21"/>
        </w:rPr>
        <w:t>国家融资担保基金和省级担保、再担保基金（机构）要引导融资担保机构加快完善信用评价和风险防控体系，逐步减少、取消反担保要求，简化审核手续，提供续保便利，降低小微企业和“三农”主体融资门槛。</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ascii="楷体" w:hAnsi="楷体" w:eastAsia="楷体" w:cs="楷体"/>
          <w:sz w:val="21"/>
          <w:szCs w:val="21"/>
        </w:rPr>
        <w:t>（二十三）防止风险转嫁。</w:t>
      </w:r>
      <w:r>
        <w:rPr>
          <w:rFonts w:hint="eastAsia"/>
          <w:sz w:val="21"/>
          <w:szCs w:val="21"/>
        </w:rPr>
        <w:t>各级政府性融资担保机构要严格审核有银行贷款记录的小微企业和“三农”主体的担保申请，防止银行业金融机构将应由自身承担的贷款风险转由融资担保、再担保机构承担，避免占用有限的担保资源、增加小微企业和“三农”主体综合融资成本。</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ascii="楷体" w:hAnsi="楷体" w:eastAsia="楷体" w:cs="楷体"/>
          <w:sz w:val="21"/>
          <w:szCs w:val="21"/>
        </w:rPr>
        <w:t>（二十四）提升服务能力。</w:t>
      </w:r>
      <w:r>
        <w:rPr>
          <w:rFonts w:hint="eastAsia"/>
          <w:sz w:val="21"/>
          <w:szCs w:val="21"/>
        </w:rPr>
        <w:t>各级政府性融资担保、再担保机构要充分发挥信用中介作用，针对小微企业和“三农”主体的信用状况和个性化融资需求，提供融资规划、贷款申请、担保手续等方面的专业辅导，并加强经验总结和案例宣传，不断增强融资服务能力，提高小微企业和“三农”主体融资便利度。</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黑体" w:hAnsi="黑体" w:eastAsia="黑体" w:cs="黑体"/>
          <w:b w:val="0"/>
          <w:bCs/>
          <w:i w:val="0"/>
          <w:caps w:val="0"/>
          <w:color w:val="333333"/>
          <w:spacing w:val="0"/>
          <w:sz w:val="21"/>
          <w:szCs w:val="21"/>
          <w:shd w:val="clear" w:fill="FFFFFF"/>
        </w:rPr>
      </w:pPr>
      <w:r>
        <w:rPr>
          <w:rFonts w:hint="eastAsia" w:ascii="黑体" w:hAnsi="黑体" w:eastAsia="黑体" w:cs="黑体"/>
          <w:b w:val="0"/>
          <w:bCs/>
          <w:i w:val="0"/>
          <w:caps w:val="0"/>
          <w:color w:val="333333"/>
          <w:spacing w:val="0"/>
          <w:sz w:val="21"/>
          <w:szCs w:val="21"/>
          <w:shd w:val="clear" w:fill="FFFFFF"/>
        </w:rPr>
        <w:t>八、优化监管考核机制</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ascii="楷体" w:hAnsi="楷体" w:eastAsia="楷体" w:cs="楷体"/>
          <w:sz w:val="21"/>
          <w:szCs w:val="21"/>
        </w:rPr>
        <w:t>（二十五）实施差异化监管措施。</w:t>
      </w:r>
      <w:r>
        <w:rPr>
          <w:rFonts w:hint="eastAsia"/>
          <w:sz w:val="21"/>
          <w:szCs w:val="21"/>
        </w:rPr>
        <w:t>金融管理部门要对银行业金融机构和融资担保、再担保机构的支小支农业务实施差异化监管，引导加大支小支农信贷供给。加强对支小支农业务贷款利率和担保费率的跟踪监测，对贷款利率和担保费率保持较低水平或降幅较大的机构给予考核加分，鼓励进一步降费让利。对政府性融资担保、再担保机构提供担保的贷款，结合银行业金融机构实际承担的风险责任比例，合理确定贷款风险权重。适当提高对担保代偿损失的监管容忍度，完善支小支农担保贷款监管政策。</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ascii="楷体" w:hAnsi="楷体" w:eastAsia="楷体" w:cs="楷体"/>
          <w:sz w:val="21"/>
          <w:szCs w:val="21"/>
        </w:rPr>
        <w:t>（二十六）健全内部考核激励机制。</w:t>
      </w:r>
      <w:r>
        <w:rPr>
          <w:rFonts w:hint="eastAsia"/>
          <w:sz w:val="21"/>
          <w:szCs w:val="21"/>
        </w:rPr>
        <w:t>银行业金融机构和融资担保、再担保机构要优化支小支农业务内部考核激励机制。提高支小支农业务考核指标权重，重点考核业务规模、户数及其占比、增量等指标，降低或取消相应利润考核要求。对已按规定妥善履行授信审批和担保审核职责的业务人员实行尽职免责。银行业金融机构要对支小支农业务实行内部资金转移优惠定价。</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ascii="楷体" w:hAnsi="楷体" w:eastAsia="楷体" w:cs="楷体"/>
          <w:sz w:val="21"/>
          <w:szCs w:val="21"/>
        </w:rPr>
        <w:t>（二十七）完善绩效评价体系。</w:t>
      </w:r>
      <w:r>
        <w:rPr>
          <w:rFonts w:hint="eastAsia"/>
          <w:sz w:val="21"/>
          <w:szCs w:val="21"/>
        </w:rPr>
        <w:t>各级财政部门要会同有关方面研究制定对政府性融资担保、再担保机构的绩效考核办法，合理使用外部信用评级，落实考核结果与资金补充、风险补偿、薪酬待遇等直接挂钩的激励约束机制，激发其开展支小支农担保业务的内生动力。</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各地区、各部门要充分认识规范政府性融资担保机构运作的重要意义，把思想、认识和行动统一到党中央、国务院决策部署上来，强化责任担当，加大工作力度，完善配套措施，抓好组织实施，推动政府性融资担保机构发挥应有作用。财政部要会同发展改革委、工业和信息化部、农业农村部、银保监会等部门，加强统筹协调，对本意见执行情况进行督促检查和跟踪分析，重大事项及时向国务院报告。</w:t>
      </w:r>
    </w:p>
    <w:p>
      <w:pPr>
        <w:pStyle w:val="20"/>
        <w:spacing w:before="0" w:beforeAutospacing="0" w:after="0" w:afterAutospacing="0" w:line="360" w:lineRule="auto"/>
        <w:ind w:left="0" w:leftChars="0" w:firstLine="420" w:firstLineChars="200"/>
        <w:jc w:val="right"/>
        <w:rPr>
          <w:rFonts w:hint="eastAsia"/>
          <w:sz w:val="21"/>
          <w:szCs w:val="21"/>
        </w:rPr>
      </w:pPr>
      <w:r>
        <w:rPr>
          <w:rFonts w:hint="eastAsia"/>
          <w:sz w:val="21"/>
          <w:szCs w:val="21"/>
        </w:rPr>
        <w:t>国务院办公厅</w:t>
      </w:r>
    </w:p>
    <w:p>
      <w:pPr>
        <w:pStyle w:val="20"/>
        <w:spacing w:before="0" w:beforeAutospacing="0" w:after="0" w:afterAutospacing="0" w:line="360" w:lineRule="auto"/>
        <w:ind w:left="0" w:leftChars="0" w:firstLine="420" w:firstLineChars="200"/>
        <w:jc w:val="right"/>
        <w:rPr>
          <w:rFonts w:hint="eastAsia"/>
          <w:sz w:val="21"/>
          <w:szCs w:val="21"/>
        </w:rPr>
      </w:pPr>
      <w:r>
        <w:rPr>
          <w:rFonts w:hint="eastAsia"/>
          <w:sz w:val="21"/>
          <w:szCs w:val="21"/>
        </w:rPr>
        <w:t>2019年1月22日</w:t>
      </w:r>
    </w:p>
    <w:p>
      <w:pPr>
        <w:pStyle w:val="3"/>
        <w:jc w:val="center"/>
        <w:rPr>
          <w:rFonts w:hint="eastAsia" w:ascii="宋体" w:hAnsi="宋体"/>
          <w:sz w:val="30"/>
          <w:szCs w:val="30"/>
        </w:rPr>
      </w:pPr>
      <w:bookmarkStart w:id="10" w:name="_Toc8782"/>
      <w:r>
        <w:rPr>
          <w:rFonts w:hint="eastAsia" w:ascii="宋体" w:hAnsi="宋体"/>
          <w:sz w:val="30"/>
          <w:szCs w:val="30"/>
        </w:rPr>
        <w:t>国务院关于印发国家职业教育改革实施方案的通知</w:t>
      </w:r>
      <w:bookmarkEnd w:id="10"/>
    </w:p>
    <w:p>
      <w:pPr>
        <w:pStyle w:val="3"/>
        <w:jc w:val="center"/>
        <w:rPr>
          <w:rFonts w:hint="eastAsia" w:ascii="宋体" w:hAnsi="宋体"/>
          <w:sz w:val="24"/>
          <w:szCs w:val="24"/>
        </w:rPr>
      </w:pPr>
      <w:bookmarkStart w:id="11" w:name="_Toc6302"/>
      <w:r>
        <w:rPr>
          <w:rFonts w:hint="eastAsia" w:ascii="宋体" w:hAnsi="宋体"/>
          <w:sz w:val="24"/>
          <w:szCs w:val="24"/>
        </w:rPr>
        <w:t>国发〔2019〕4号</w:t>
      </w:r>
      <w:bookmarkEnd w:id="11"/>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pStyle w:val="20"/>
        <w:spacing w:before="0" w:beforeAutospacing="0" w:after="0" w:afterAutospacing="0" w:line="360" w:lineRule="auto"/>
        <w:jc w:val="both"/>
        <w:rPr>
          <w:rFonts w:hint="eastAsia"/>
          <w:sz w:val="21"/>
          <w:szCs w:val="21"/>
        </w:rPr>
      </w:pPr>
      <w:r>
        <w:rPr>
          <w:rFonts w:hint="eastAsia"/>
          <w:sz w:val="21"/>
          <w:szCs w:val="21"/>
        </w:rPr>
        <w:t>各省、自治区、直辖市人民政府，国务院各部委、各直属机构：</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现将《国家职业教育改革实施方案》印发给你们，请认真贯彻执行。</w:t>
      </w:r>
    </w:p>
    <w:p>
      <w:pPr>
        <w:pStyle w:val="20"/>
        <w:spacing w:before="0" w:beforeAutospacing="0" w:after="0" w:afterAutospacing="0" w:line="360" w:lineRule="auto"/>
        <w:ind w:left="0" w:leftChars="0" w:firstLine="420" w:firstLineChars="200"/>
        <w:jc w:val="right"/>
        <w:rPr>
          <w:rFonts w:hint="eastAsia"/>
          <w:sz w:val="21"/>
          <w:szCs w:val="21"/>
        </w:rPr>
      </w:pPr>
      <w:r>
        <w:rPr>
          <w:rFonts w:hint="eastAsia"/>
          <w:sz w:val="21"/>
          <w:szCs w:val="21"/>
        </w:rPr>
        <w:t>国务院</w:t>
      </w:r>
    </w:p>
    <w:p>
      <w:pPr>
        <w:pStyle w:val="20"/>
        <w:spacing w:before="0" w:beforeAutospacing="0" w:after="0" w:afterAutospacing="0" w:line="360" w:lineRule="auto"/>
        <w:ind w:left="0" w:leftChars="0" w:firstLine="420" w:firstLineChars="200"/>
        <w:jc w:val="right"/>
        <w:rPr>
          <w:rFonts w:hint="eastAsia"/>
          <w:sz w:val="21"/>
          <w:szCs w:val="21"/>
        </w:rPr>
      </w:pPr>
      <w:r>
        <w:rPr>
          <w:rFonts w:hint="eastAsia"/>
          <w:sz w:val="21"/>
          <w:szCs w:val="21"/>
        </w:rPr>
        <w:t>2019年1月24日</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（此件公开发布）</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shd w:val="clear" w:fill="FFFFFF"/>
        </w:rPr>
        <w:t>国家职业教育改革实施方案</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职业教育与普通教育是两种不同教育类型，具有同等重要地位。改革开放以来，职业教育为我国经济社会发展提供了有力的人才和智力支撑，现代职业教育体系框架全面建成，服务经济社会发展能力和社会吸引力不断增强，具备了基本实现现代化的诸多有利条件和良好工作基础。随着我国进入新的发展阶段，产业升级和经济结构调整不断加快，各行各业对技术技能人才的需求越来越紧迫，职业教育重要地位和作用越来越凸显。但是，与发达国家相比，与建设现代化经济体系、建设教育强国的要求相比，我国职业教育还存在着体系建设不够完善、职业技能实训基地建设有待加强、制度标准不够健全、企业参与办学的动力不足、有利于技术技能人才成长的配套政策尚待完善、办学和人才培养质量水平参差不齐等问题，到了必须下大力气抓好的时候。没有职业教育现代化就没有教育现代化。为贯彻全国教育大会精神，进一步办好新时代职业教育，落实《中华人民共和国职业教育法》，制定本实施方案。</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总体要求与目标：坚持以习近平新时代中国特色社会主义思想为指导，把职业教育摆在教育改革创新和经济社会发展中更加突出的位置。牢固树立新发展理念，服务建设现代化经济体系和实现更高质量更充分就业需要，对接科技发展趋势和市场需求，完善职业教育和培训体系，优化学校、专业布局，深化办学体制改革和育人机制改革，以促进就业和适应产业发展需求为导向，鼓励和支持社会各界特别是企业积极支持职业教育，着力培养高素质劳动者和技术技能人才。经过5—10年左右时间，职业教育基本完成由政府举办为主向政府统筹管理、社会多元办学的格局转变，由追求规模扩张向提高质量转变，由参照普通教育办学模式向企业社会参与、专业特色鲜明的类型教育转变，大幅提升新时代职业教育现代化水平，为促进经济社会发展和提高国家竞争力提供优质人才资源支撑。</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具体指标：到2022年，职业院校教学条件基本达标，一大批普通本科高等学校向应用型转变，建设50所高水平高等职业学校和150个骨干专业（群）。建成覆盖大部分行业领域、具有国际先进水平的中国职业教育标准体系。企业参与职业教育的积极性有较大提升，培育数以万计的产教融合型企业，打造一批优秀职业教育培训评价组织，推动建设300个具有辐射引领作用的高水平专业化产教融合实训基地。职业院校实践性教学课时原则上占总课时一半以上，顶岗实习时间一般为6个月。“双师型”教师（同时具备理论教学和实践教学能力的教师）占专业课教师总数超过一半，分专业建设一批国家级职业教育教师教学创新团队。从2019年开始，在职业院校、应用型本科高校启动“学历证书+若干职业技能等级证书”制度试点（以下称1+X证书制度试点）工作。</w:t>
      </w:r>
    </w:p>
    <w:p>
      <w:pPr>
        <w:pStyle w:val="20"/>
        <w:spacing w:before="0" w:beforeAutospacing="0" w:after="0" w:afterAutospacing="0" w:line="360" w:lineRule="auto"/>
        <w:ind w:left="0" w:leftChars="0" w:firstLine="420" w:firstLineChars="200"/>
        <w:jc w:val="both"/>
        <w:rPr>
          <w:rFonts w:hint="eastAsia" w:ascii="黑体" w:hAnsi="黑体" w:eastAsia="黑体" w:cs="黑体"/>
          <w:b w:val="0"/>
          <w:bCs w:val="0"/>
          <w:sz w:val="21"/>
          <w:szCs w:val="21"/>
        </w:rPr>
      </w:pPr>
      <w:r>
        <w:rPr>
          <w:rFonts w:hint="eastAsia" w:ascii="黑体" w:hAnsi="黑体" w:eastAsia="黑体" w:cs="黑体"/>
          <w:b w:val="0"/>
          <w:bCs w:val="0"/>
          <w:sz w:val="21"/>
          <w:szCs w:val="21"/>
        </w:rPr>
        <w:t>一、完善国家职业教育制度体系</w:t>
      </w:r>
    </w:p>
    <w:p>
      <w:pPr>
        <w:pStyle w:val="20"/>
        <w:spacing w:before="0" w:beforeAutospacing="0" w:after="0" w:afterAutospacing="0" w:line="360" w:lineRule="auto"/>
        <w:ind w:left="0" w:leftChars="0" w:firstLine="420" w:firstLineChars="200"/>
        <w:jc w:val="both"/>
        <w:rPr>
          <w:rFonts w:hint="eastAsia" w:ascii="楷体" w:hAnsi="楷体" w:eastAsia="楷体" w:cs="楷体"/>
          <w:sz w:val="21"/>
          <w:szCs w:val="21"/>
        </w:rPr>
      </w:pPr>
      <w:r>
        <w:rPr>
          <w:rFonts w:hint="eastAsia" w:ascii="楷体" w:hAnsi="楷体" w:eastAsia="楷体" w:cs="楷体"/>
          <w:sz w:val="21"/>
          <w:szCs w:val="21"/>
        </w:rPr>
        <w:t>（一）健全国家职业教育制度框架。</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把握好正确的改革方向，按照“管好两端、规范中间、书证融通、办学多元”的原则，严把教学标准和毕业学生质量标准两个关口。将标准化建设作为统领职业教育发展的突破口，完善职业教育体系，为服务现代制造业、现代服务业、现代农业发展和职业教育现代化提供制度保障与人才支持。建立健全学校设置、师资队伍、教学教材、信息化建设、安全设施等办学标准，引领职业教育服务发展、促进就业创业。落实好立德树人根本任务，健全德技并修、工学结合的育人机制，完善评价机制，规范人才培养全过程。深化产教融合、校企合作，育训结合，健全多元化办学格局，推动企业深度参与协同育人，扶持鼓励企业和社会力量参与举办各类职业教育。推进资历框架建设，探索实现学历证书和职业技能等级证书互通衔接。</w:t>
      </w:r>
    </w:p>
    <w:p>
      <w:pPr>
        <w:pStyle w:val="20"/>
        <w:spacing w:before="0" w:beforeAutospacing="0" w:after="0" w:afterAutospacing="0" w:line="360" w:lineRule="auto"/>
        <w:ind w:left="0" w:leftChars="0" w:firstLine="420" w:firstLineChars="200"/>
        <w:jc w:val="both"/>
        <w:rPr>
          <w:rFonts w:hint="eastAsia" w:ascii="楷体" w:hAnsi="楷体" w:eastAsia="楷体" w:cs="楷体"/>
          <w:sz w:val="21"/>
          <w:szCs w:val="21"/>
        </w:rPr>
      </w:pPr>
      <w:r>
        <w:rPr>
          <w:rFonts w:hint="eastAsia" w:ascii="楷体" w:hAnsi="楷体" w:eastAsia="楷体" w:cs="楷体"/>
          <w:sz w:val="21"/>
          <w:szCs w:val="21"/>
        </w:rPr>
        <w:t>（二）提高中等职业教育发展水平。</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优化教育结构，把发展中等职业教育作为普及高中阶段教育和建设中国特色职业教育体系的重要基础，保持高中阶段教育职普比大体相当，使绝大多数城乡新增劳动力接受高中阶段教育。改善中等职业学校基本办学条件。加强省级统筹，建好办好一批县域职教中心，重点支持集中连片特困地区每个地（市、州、盟）原则上至少建设一所符合当地经济社会发展和技术技能人才培养需要的中等职业学校。指导各地优化中等职业学校布局结构，科学配置并做大做强职业教育资源。加大对民族地区、贫困地区和残疾人职业教育的政策、金融支持力度，落实职业教育东西协作行动计划，办好内地少数民族中职班。完善招生机制，建立中等职业学校和普通高中统一招生平台，精准服务区域发展需求。积极招收初高中毕业未升学学生、退役军人、退役运动员、下岗职工、返乡农民工等接受中等职业教育；服务乡村振兴战略，为广大农村培养以新型职业农民为主体的农村实用人才。发挥中等职业学校作用，帮助部分学业困难学生按规定在职业学校完成义务教育，并接受部分职业技能学习。</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鼓励中等职业学校联合中小学开展劳动和职业启蒙教育，将动手实践内容纳入中小学相关课程和学生综合素质评价。</w:t>
      </w:r>
    </w:p>
    <w:p>
      <w:pPr>
        <w:pStyle w:val="20"/>
        <w:spacing w:before="0" w:beforeAutospacing="0" w:after="0" w:afterAutospacing="0" w:line="360" w:lineRule="auto"/>
        <w:ind w:left="0" w:leftChars="0" w:firstLine="420" w:firstLineChars="200"/>
        <w:jc w:val="both"/>
        <w:rPr>
          <w:rFonts w:hint="eastAsia" w:ascii="楷体" w:hAnsi="楷体" w:eastAsia="楷体" w:cs="楷体"/>
          <w:sz w:val="21"/>
          <w:szCs w:val="21"/>
        </w:rPr>
      </w:pPr>
      <w:r>
        <w:rPr>
          <w:rFonts w:hint="eastAsia" w:ascii="楷体" w:hAnsi="楷体" w:eastAsia="楷体" w:cs="楷体"/>
          <w:sz w:val="21"/>
          <w:szCs w:val="21"/>
        </w:rPr>
        <w:t>（三）推进高等职业教育高质量发展。</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把发展高等职业教育作为优化高等教育结构和培养大国工匠、能工巧匠的重要方式，使城乡新增劳动力更多接受高等教育。高等职业学校要培养服务区域发展的高素质技术技能人才，重点服务企业特别是中小微企业的技术研发和产品升级，加强社区教育和终身学习服务。建立“职教高考”制度，完善“文化素质+职业技能”的考试招生办法，提高生源质量，为学生接受高等职业教育提供多种入学方式和学习方式。在学前教育、护理、养老服务、健康服务、现代服务业等领域，扩大对初中毕业生实行中高职贯通培养的招生规模。启动实施中国特色高水平高等职业学校和专业建设计划，建设一批引领改革、支撑发展、中国特色、世界水平的高等职业学校和骨干专业（群）。根据高等学校设置制度规定，将符合条件的技师学院纳入高等学校序列。</w:t>
      </w:r>
    </w:p>
    <w:p>
      <w:pPr>
        <w:pStyle w:val="20"/>
        <w:spacing w:before="0" w:beforeAutospacing="0" w:after="0" w:afterAutospacing="0" w:line="360" w:lineRule="auto"/>
        <w:ind w:left="0" w:leftChars="0" w:firstLine="420" w:firstLineChars="200"/>
        <w:jc w:val="both"/>
        <w:rPr>
          <w:rFonts w:hint="eastAsia" w:ascii="楷体" w:hAnsi="楷体" w:eastAsia="楷体" w:cs="楷体"/>
          <w:sz w:val="21"/>
          <w:szCs w:val="21"/>
        </w:rPr>
      </w:pPr>
      <w:r>
        <w:rPr>
          <w:rFonts w:hint="eastAsia" w:ascii="楷体" w:hAnsi="楷体" w:eastAsia="楷体" w:cs="楷体"/>
          <w:sz w:val="21"/>
          <w:szCs w:val="21"/>
        </w:rPr>
        <w:t>（四）完善高层次应用型人才培养体系。</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完善学历教育与培训并重的现代职业教育体系，畅通技术技能人才成长渠道。发展以职业需求为导向、以实践能力培养为重点、以产学研用结合为途径的专业学位研究生培养模式，加强专业学位硕士研究生培养。推动具备条件的普通本科高校向应用型转变，鼓励有条件的普通高校开办应用技术类型专业或课程。开展本科层次职业教育试点。制定中国技能大赛、全国职业院校技能大赛、世界技能大赛获奖选手等免试入学政策，探索长学制培养高端技术技能人才。服务军民融合发展，把军队相关的职业教育纳入国家职业教育大体系，共同做好面向现役军人的教育培训，支持其在服役期间取得多类职业技能等级证书，提升技术技能水平。落实好定向培养直招士官政策，推动地方院校与军队院校有效对接，推动优质职业教育资源向军事人才培养开放，建立军地网络教育资源共享机制。制订具体政策办法，支持适合的退役军人进入职业院校和普通本科高校接受教育和培训，鼓励支持设立退役军人教育培训集团（联盟），推动退役、培训、就业有机衔接，为促进退役军人特别是退役士兵就业创业作出贡献。</w:t>
      </w:r>
    </w:p>
    <w:p>
      <w:pPr>
        <w:pStyle w:val="20"/>
        <w:spacing w:before="0" w:beforeAutospacing="0" w:after="0" w:afterAutospacing="0" w:line="360" w:lineRule="auto"/>
        <w:ind w:left="0" w:leftChars="0" w:firstLine="420" w:firstLineChars="200"/>
        <w:jc w:val="both"/>
        <w:rPr>
          <w:rFonts w:hint="eastAsia" w:ascii="黑体" w:hAnsi="黑体" w:eastAsia="黑体" w:cs="黑体"/>
          <w:b w:val="0"/>
          <w:bCs w:val="0"/>
          <w:sz w:val="21"/>
          <w:szCs w:val="21"/>
        </w:rPr>
      </w:pPr>
      <w:r>
        <w:rPr>
          <w:rFonts w:hint="eastAsia" w:ascii="黑体" w:hAnsi="黑体" w:eastAsia="黑体" w:cs="黑体"/>
          <w:b w:val="0"/>
          <w:bCs w:val="0"/>
          <w:sz w:val="21"/>
          <w:szCs w:val="21"/>
        </w:rPr>
        <w:t>二、构建职业教育国家标准</w:t>
      </w:r>
    </w:p>
    <w:p>
      <w:pPr>
        <w:pStyle w:val="20"/>
        <w:spacing w:before="0" w:beforeAutospacing="0" w:after="0" w:afterAutospacing="0" w:line="360" w:lineRule="auto"/>
        <w:ind w:left="0" w:leftChars="0" w:firstLine="420" w:firstLineChars="200"/>
        <w:jc w:val="both"/>
        <w:rPr>
          <w:rFonts w:hint="eastAsia" w:ascii="楷体" w:hAnsi="楷体" w:eastAsia="楷体" w:cs="楷体"/>
          <w:sz w:val="21"/>
          <w:szCs w:val="21"/>
        </w:rPr>
      </w:pPr>
      <w:r>
        <w:rPr>
          <w:rFonts w:hint="eastAsia" w:ascii="楷体" w:hAnsi="楷体" w:eastAsia="楷体" w:cs="楷体"/>
          <w:sz w:val="21"/>
          <w:szCs w:val="21"/>
        </w:rPr>
        <w:t>（五）完善教育教学相关标准。</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发挥标准在职业教育质量提升中的基础性作用。按照专业设置与产业需求对接、课程内容与职业标准对接、教学过程与生产过程对接的要求，完善中等、高等职业学校设置标准，规范职业院校设置；实施教师和校长专业标准，提升职业院校教学管理和教学实践能力。持续更新并推进专业目录、专业教学标准、课程标准、顶岗实习标准、实训条件建设标准（仪器设备配备规范）建设和在职业院校落地实施。巩固和发展国务院教育行政部门联合行业制定国家教学标准、职业院校依据标准自主制订人才培养方案的工作格局。</w:t>
      </w:r>
    </w:p>
    <w:p>
      <w:pPr>
        <w:pStyle w:val="20"/>
        <w:spacing w:before="0" w:beforeAutospacing="0" w:after="0" w:afterAutospacing="0" w:line="360" w:lineRule="auto"/>
        <w:ind w:left="0" w:leftChars="0" w:firstLine="420" w:firstLineChars="200"/>
        <w:jc w:val="both"/>
        <w:rPr>
          <w:rFonts w:hint="eastAsia" w:ascii="楷体" w:hAnsi="楷体" w:eastAsia="楷体" w:cs="楷体"/>
          <w:sz w:val="21"/>
          <w:szCs w:val="21"/>
        </w:rPr>
      </w:pPr>
      <w:r>
        <w:rPr>
          <w:rFonts w:hint="eastAsia" w:ascii="楷体" w:hAnsi="楷体" w:eastAsia="楷体" w:cs="楷体"/>
          <w:sz w:val="21"/>
          <w:szCs w:val="21"/>
        </w:rPr>
        <w:t>（六）启动1+X证书制度试点工作。</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深化复合型技术技能人才培养培训模式改革，借鉴国际职业教育培训普遍做法，制订工作方案和具体管理办法，启动1+X证书制度试点工作。试点工作要进一步发挥好学历证书作用，夯实学生可持续发展基础，鼓励职业院校学生在获得学历证书的同时，积极取得多类职业技能等级证书，拓展就业创业本领，缓解结构性就业矛盾。国务院人力资源社会保障行政部门、教育行政部门在职责范围内，分别负责管理监督考核院校外、院校内职业技能等级证书的实施（技工院校内由人力资源社会保障行政部门负责），国务院人力资源社会保障行政部门组织制定职业标准，国务院教育行政部门依照职业标准牵头组织开发教学等相关标准。院校内培训可面向社会人群，院校外培训也可面向在校学生。各类职业技能等级证书具有同等效力，持有证书人员享受同等待遇。院校内实施的职业技能等级证书分为初级、中级、高级，是职业技能水平的凭证，反映职业活动和个人职业生涯发展所需要的综合能力。</w:t>
      </w:r>
    </w:p>
    <w:p>
      <w:pPr>
        <w:pStyle w:val="20"/>
        <w:spacing w:before="0" w:beforeAutospacing="0" w:after="0" w:afterAutospacing="0" w:line="360" w:lineRule="auto"/>
        <w:ind w:left="0" w:leftChars="0" w:firstLine="420" w:firstLineChars="200"/>
        <w:jc w:val="both"/>
        <w:rPr>
          <w:rFonts w:hint="eastAsia" w:ascii="楷体" w:hAnsi="楷体" w:eastAsia="楷体" w:cs="楷体"/>
          <w:sz w:val="21"/>
          <w:szCs w:val="21"/>
        </w:rPr>
      </w:pPr>
      <w:r>
        <w:rPr>
          <w:rFonts w:hint="eastAsia" w:ascii="楷体" w:hAnsi="楷体" w:eastAsia="楷体" w:cs="楷体"/>
          <w:sz w:val="21"/>
          <w:szCs w:val="21"/>
        </w:rPr>
        <w:t>（七）开展高质量职业培训。</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落实职业院校实施学历教育与培训并举的法定职责，按照育训结合、长短结合、内外结合的要求，面向在校学生和全体社会成员开展职业培训。自2019年开始，围绕现代农业、先进制造业、现代服务业、战略性新兴产业，推动职业院校在10个左右技术技能人才紧缺领域大力开展职业培训。引导行业企业深度参与技术技能人才培养培训，促进职业院校加强专业建设、深化课程改革、增强实训内容、提高师资水平，全面提升教育教学质量。各级政府要积极支持职业培训，行政部门要简政放权并履行好监管职责，相关下属机构要优化服务，对于违规收取费用的要严肃处理。畅通技术技能人才职业发展通道，鼓励其持续获得适应经济社会发展需要的职业培训证书，引导和支持企业等用人单位落实相关待遇。对取得职业技能等级证书的离校未就业高校毕业生，按规定落实职业培训补贴政策。</w:t>
      </w:r>
    </w:p>
    <w:p>
      <w:pPr>
        <w:pStyle w:val="20"/>
        <w:spacing w:before="0" w:beforeAutospacing="0" w:after="0" w:afterAutospacing="0" w:line="360" w:lineRule="auto"/>
        <w:ind w:left="0" w:leftChars="0" w:firstLine="420" w:firstLineChars="200"/>
        <w:jc w:val="both"/>
        <w:rPr>
          <w:rFonts w:hint="eastAsia" w:ascii="楷体" w:hAnsi="楷体" w:eastAsia="楷体" w:cs="楷体"/>
          <w:sz w:val="21"/>
          <w:szCs w:val="21"/>
        </w:rPr>
      </w:pPr>
      <w:r>
        <w:rPr>
          <w:rFonts w:hint="eastAsia" w:ascii="楷体" w:hAnsi="楷体" w:eastAsia="楷体" w:cs="楷体"/>
          <w:sz w:val="21"/>
          <w:szCs w:val="21"/>
        </w:rPr>
        <w:t>（八）实现学习成果的认定、积累和转换。</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加快推进职业教育国家“学分银行”建设，从2019年开始，探索建立职业教育个人学习账号，实现学习成果可追溯、可查询、可转换。有序开展学历证书和职业技能等级证书所体现的学习成果的认定、积累和转换，为技术技能人才持续成长拓宽通道。职业院校对取得若干职业技能等级证书的社会成员，支持其根据证书等级和类别免修部分课程，在完成规定内容学习后依法依规取得学历证书。对接受职业院校学历教育并取得毕业证书的学生，在参加相应的职业技能等级证书考试时，可免试部分内容。从2019年起，在有条件的地区和高校探索实施试点工作，制定符合国情的国家资历框架。</w:t>
      </w:r>
    </w:p>
    <w:p>
      <w:pPr>
        <w:pStyle w:val="20"/>
        <w:spacing w:before="0" w:beforeAutospacing="0" w:after="0" w:afterAutospacing="0" w:line="360" w:lineRule="auto"/>
        <w:ind w:left="0" w:leftChars="0" w:firstLine="420" w:firstLineChars="200"/>
        <w:jc w:val="both"/>
        <w:rPr>
          <w:rFonts w:hint="eastAsia" w:ascii="黑体" w:hAnsi="黑体" w:eastAsia="黑体" w:cs="黑体"/>
          <w:b w:val="0"/>
          <w:bCs w:val="0"/>
          <w:sz w:val="21"/>
          <w:szCs w:val="21"/>
        </w:rPr>
      </w:pPr>
      <w:r>
        <w:rPr>
          <w:rFonts w:hint="eastAsia" w:ascii="黑体" w:hAnsi="黑体" w:eastAsia="黑体" w:cs="黑体"/>
          <w:b w:val="0"/>
          <w:bCs w:val="0"/>
          <w:sz w:val="21"/>
          <w:szCs w:val="21"/>
        </w:rPr>
        <w:t>三、促进产教融合校企“双元”育人</w:t>
      </w:r>
    </w:p>
    <w:p>
      <w:pPr>
        <w:pStyle w:val="20"/>
        <w:spacing w:before="0" w:beforeAutospacing="0" w:after="0" w:afterAutospacing="0" w:line="360" w:lineRule="auto"/>
        <w:ind w:left="0" w:leftChars="0" w:firstLine="420" w:firstLineChars="200"/>
        <w:jc w:val="both"/>
        <w:rPr>
          <w:rFonts w:hint="eastAsia" w:ascii="楷体" w:hAnsi="楷体" w:eastAsia="楷体" w:cs="楷体"/>
          <w:sz w:val="21"/>
          <w:szCs w:val="21"/>
        </w:rPr>
      </w:pPr>
      <w:r>
        <w:rPr>
          <w:rFonts w:hint="eastAsia" w:ascii="楷体" w:hAnsi="楷体" w:eastAsia="楷体" w:cs="楷体"/>
          <w:sz w:val="21"/>
          <w:szCs w:val="21"/>
        </w:rPr>
        <w:t>（九）坚持知行合一、工学结合。</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借鉴“双元制”等模式，总结现代学徒制和企业新型学徒制试点经验，校企共同研究制定人才培养方案，及时将新技术、新工艺、新规范纳入教学标准和教学内容，强化学生实习实训。健全专业设置定期评估机制，强化地方引导本区域职业院校优化专业设置的职责，原则上每5年修订1次职业院校专业目录，学校依据目录灵活自主设置专业，每年调整1次专业。健全专业教学资源库，建立共建共享平台的资源认证标准和交易机制，进一步扩大优质资源覆盖面。遴选认定一大批职业教育在线精品课程，建设一大批校企“双元”合作开发的国家规划教材，倡导使用新型活页式、工作手册式教材并配套开发信息化资源。每3年修订1次教材，其中专业教材随信息技术发展和产业升级情况及时动态更新。适应“互联网+职业教育”发展需求，运用现代信息技术改进教学方式方法，推进虚拟工厂等网络学习空间建设和普遍应用。</w:t>
      </w:r>
    </w:p>
    <w:p>
      <w:pPr>
        <w:pStyle w:val="20"/>
        <w:spacing w:before="0" w:beforeAutospacing="0" w:after="0" w:afterAutospacing="0" w:line="360" w:lineRule="auto"/>
        <w:ind w:left="0" w:leftChars="0" w:firstLine="420" w:firstLineChars="200"/>
        <w:jc w:val="both"/>
        <w:rPr>
          <w:rFonts w:hint="eastAsia" w:ascii="楷体" w:hAnsi="楷体" w:eastAsia="楷体" w:cs="楷体"/>
          <w:sz w:val="21"/>
          <w:szCs w:val="21"/>
        </w:rPr>
      </w:pPr>
      <w:r>
        <w:rPr>
          <w:rFonts w:hint="eastAsia" w:ascii="楷体" w:hAnsi="楷体" w:eastAsia="楷体" w:cs="楷体"/>
          <w:sz w:val="21"/>
          <w:szCs w:val="21"/>
        </w:rPr>
        <w:t>（十）推动校企全面加强深度合作。</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职业院校应当根据自身特点和人才培养需要，主动与具备条件的企业在人才培养、技术创新、就业创业、社会服务、文化传承等方面开展合作。学校积极为企业提供所需的课程、师资等资源，企业应当依法履行实施职业教育的义务，利用资本、技术、知识、设施、设备和管理等要素参与校企合作，促进人力资源开发。校企合作中，学校可从中获得智力、专利、教育、劳务等报酬，具体分配由学校按规定自行处理。在开展国家产教融合建设试点基础上，建立产教融合型企业认证制度，对进入目录的产教融合型企业给予“金融+财政+土地+信用”的组合式激励，并按规定落实相关税收政策。试点企业兴办职业教育的投资符合条件的，可按投资额一定比例抵免该企业当年应缴教育费附加和地方教育附加。厚植企业承担职业教育责任的社会环境，推动职业院校和行业企业形成命运共同体。</w:t>
      </w:r>
    </w:p>
    <w:p>
      <w:pPr>
        <w:pStyle w:val="20"/>
        <w:spacing w:before="0" w:beforeAutospacing="0" w:after="0" w:afterAutospacing="0" w:line="360" w:lineRule="auto"/>
        <w:ind w:left="0" w:leftChars="0" w:firstLine="420" w:firstLineChars="200"/>
        <w:jc w:val="both"/>
        <w:rPr>
          <w:rFonts w:hint="eastAsia" w:ascii="楷体" w:hAnsi="楷体" w:eastAsia="楷体" w:cs="楷体"/>
          <w:sz w:val="21"/>
          <w:szCs w:val="21"/>
        </w:rPr>
      </w:pPr>
      <w:r>
        <w:rPr>
          <w:rFonts w:hint="eastAsia" w:ascii="楷体" w:hAnsi="楷体" w:eastAsia="楷体" w:cs="楷体"/>
          <w:sz w:val="21"/>
          <w:szCs w:val="21"/>
        </w:rPr>
        <w:t>（十一）打造一批高水平实训基地。</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加大政策引导力度，充分调动各方面深化职业教育改革创新的积极性，带动各级政府、企业和职业院校建设一批资源共享，集实践教学、社会培训、企业真实生产和社会技术服务于一体的高水平职业教育实训基地。面向先进制造业等技术技能人才紧缺领域，统筹多种资源，建设若干具有辐射引领作用的高水平专业化产教融合实训基地，推动开放共享，辐射区域内学校和企业；鼓励职业院校建设或校企共建一批校内实训基地，提升重点专业建设和校企合作育人水平。积极吸引企业和社会力量参与，指导各地各校借鉴德国、日本、瑞士等国家经验，探索创新实训基地运营模式。提高实训基地规划、管理水平，为社会公众、职业院校在校生取得职业技能等级证书和企业提升人力资源水平提供有力支撑。</w:t>
      </w:r>
    </w:p>
    <w:p>
      <w:pPr>
        <w:pStyle w:val="20"/>
        <w:spacing w:before="0" w:beforeAutospacing="0" w:after="0" w:afterAutospacing="0" w:line="360" w:lineRule="auto"/>
        <w:ind w:left="0" w:leftChars="0" w:firstLine="420" w:firstLineChars="200"/>
        <w:jc w:val="both"/>
        <w:rPr>
          <w:rFonts w:hint="eastAsia" w:ascii="楷体" w:hAnsi="楷体" w:eastAsia="楷体" w:cs="楷体"/>
          <w:sz w:val="21"/>
          <w:szCs w:val="21"/>
        </w:rPr>
      </w:pPr>
      <w:r>
        <w:rPr>
          <w:rFonts w:hint="eastAsia" w:ascii="楷体" w:hAnsi="楷体" w:eastAsia="楷体" w:cs="楷体"/>
          <w:sz w:val="21"/>
          <w:szCs w:val="21"/>
        </w:rPr>
        <w:t>（十二）多措并举打造“双师型”教师队伍。</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从2019年起，职业院校、应用型本科高校相关专业教师原则上从具有3年以上企业工作经历并具有高职以上学历的人员中公开招聘，特殊高技能人才（含具有高级工以上职业资格人员）可适当放宽学历要求，2020年起基本不再从应届毕业生中招聘。加强职业技术师范院校建设，优化结构布局，引导一批高水平工科学校举办职业技术师范教育。实施职业院校教师素质提高计划，建立100个“双师型”教师培养培训基地，职业院校、应用型本科高校教师每年至少1个月在企业或实训基地实训，落实教师5年一周期的全员轮训制度。探索组建高水平、结构化教师教学创新团队，教师分工协作进行模块化教学。定期组织选派职业院校专业骨干教师赴国外研修访学。在职业院校实行高层次、高技能人才以直接考察的方式公开招聘。建立健全职业院校自主聘任兼职教师的办法，推动企业工程技术人员、高技能人才和职业院校教师双向流动。职业院校通过校企合作、技术服务、社会培训、自办企业等所得收入，可按一定比例作为绩效工资来源。</w:t>
      </w:r>
    </w:p>
    <w:p>
      <w:pPr>
        <w:pStyle w:val="20"/>
        <w:spacing w:before="0" w:beforeAutospacing="0" w:after="0" w:afterAutospacing="0" w:line="360" w:lineRule="auto"/>
        <w:ind w:left="0" w:leftChars="0" w:firstLine="420" w:firstLineChars="200"/>
        <w:jc w:val="both"/>
        <w:rPr>
          <w:rFonts w:hint="eastAsia" w:ascii="黑体" w:hAnsi="黑体" w:eastAsia="黑体" w:cs="黑体"/>
          <w:b w:val="0"/>
          <w:bCs w:val="0"/>
          <w:sz w:val="21"/>
          <w:szCs w:val="21"/>
        </w:rPr>
      </w:pPr>
      <w:r>
        <w:rPr>
          <w:rFonts w:hint="eastAsia" w:ascii="黑体" w:hAnsi="黑体" w:eastAsia="黑体" w:cs="黑体"/>
          <w:b w:val="0"/>
          <w:bCs w:val="0"/>
          <w:sz w:val="21"/>
          <w:szCs w:val="21"/>
        </w:rPr>
        <w:t>四、建设多元办学格局</w:t>
      </w:r>
    </w:p>
    <w:p>
      <w:pPr>
        <w:pStyle w:val="20"/>
        <w:spacing w:before="0" w:beforeAutospacing="0" w:after="0" w:afterAutospacing="0" w:line="360" w:lineRule="auto"/>
        <w:ind w:left="0" w:leftChars="0" w:firstLine="420" w:firstLineChars="200"/>
        <w:jc w:val="both"/>
        <w:rPr>
          <w:rFonts w:hint="eastAsia" w:ascii="楷体" w:hAnsi="楷体" w:eastAsia="楷体" w:cs="楷体"/>
          <w:sz w:val="21"/>
          <w:szCs w:val="21"/>
        </w:rPr>
      </w:pPr>
      <w:r>
        <w:rPr>
          <w:rFonts w:hint="eastAsia" w:ascii="楷体" w:hAnsi="楷体" w:eastAsia="楷体" w:cs="楷体"/>
          <w:sz w:val="21"/>
          <w:szCs w:val="21"/>
        </w:rPr>
        <w:t>（十三）推动企业和社会力量举办高质量职业教育。</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各级政府部门要深化“放管服”改革，加快推进职能转变，由注重“办”职业教育向“管理与服务”过渡。政府主要负责规划战略、制定政策、依法依规监管。发挥企业重要办学主体作用，鼓励有条件的企业特别是大企业举办高质量职业教育，各级人民政府可按规定给予适当支持。完善企业经营管理和技术人员与学校领导、骨干教师相互兼职兼薪制度。2020年初步建成300个示范性职业教育集团（联盟），带动中小企业参与。支持和规范社会力量兴办职业教育培训，鼓励发展股份制、混合所有制等职业院校和各类职业培训机构。建立公开透明规范的民办职业教育准入、审批制度，探索民办职业教育负面清单制度，建立健全退出机制。</w:t>
      </w:r>
    </w:p>
    <w:p>
      <w:pPr>
        <w:pStyle w:val="20"/>
        <w:spacing w:before="0" w:beforeAutospacing="0" w:after="0" w:afterAutospacing="0" w:line="360" w:lineRule="auto"/>
        <w:ind w:left="0" w:leftChars="0" w:firstLine="420" w:firstLineChars="200"/>
        <w:jc w:val="both"/>
        <w:rPr>
          <w:rFonts w:hint="eastAsia" w:ascii="楷体" w:hAnsi="楷体" w:eastAsia="楷体" w:cs="楷体"/>
          <w:sz w:val="21"/>
          <w:szCs w:val="21"/>
        </w:rPr>
      </w:pPr>
      <w:r>
        <w:rPr>
          <w:rFonts w:hint="eastAsia" w:ascii="楷体" w:hAnsi="楷体" w:eastAsia="楷体" w:cs="楷体"/>
          <w:sz w:val="21"/>
          <w:szCs w:val="21"/>
        </w:rPr>
        <w:t>（十四）做优职业教育培训评价组织。</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职业教育包括职业学校教育和职业培训，职业院校和应用型本科高校按照国家教学标准和规定职责完成教学任务和职业技能人才培养。同时，也必须调动社会力量，补充校园不足，助力校园办学。能够依据国家有关法规和职业标准、教学标准完成的职业技能培训，要更多通过职业教育培训评价组织（以下简称培训评价组织）等参与实施。政府通过放宽准入，严格末端监督执法，严格控制数量，扶优、扶大、扶强，保证培训质量和学生能力水平。要按照在已成熟的品牌中遴选一批、在成长中的品牌中培育一批、在有需要但还没有建立项目的领域中规划一批的原则，以社会化机制公开招募并择优遴选培训评价组织，优先从制订过国家职业标准并完成标准教材编写，具有专家、师资团队、资金实力和5年以上优秀培训业绩的机构中选择。培训评价组织应对接职业标准，与国际先进标准接轨，按有关规定开发职业技能等级标准，负责实施职业技能考核、评价和证书发放。政府部门要加强监管，防止出现乱培训、滥发证现象。行业协会要积极配合政府，为培训评价组织提供好服务环境支持，不得以任何方式收取费用或干预企业办学行为。</w:t>
      </w:r>
    </w:p>
    <w:p>
      <w:pPr>
        <w:pStyle w:val="20"/>
        <w:spacing w:before="0" w:beforeAutospacing="0" w:after="0" w:afterAutospacing="0" w:line="360" w:lineRule="auto"/>
        <w:ind w:left="0" w:leftChars="0" w:firstLine="420" w:firstLineChars="200"/>
        <w:jc w:val="both"/>
        <w:rPr>
          <w:rFonts w:hint="eastAsia" w:ascii="黑体" w:hAnsi="黑体" w:eastAsia="黑体" w:cs="黑体"/>
          <w:b w:val="0"/>
          <w:bCs w:val="0"/>
          <w:sz w:val="21"/>
          <w:szCs w:val="21"/>
        </w:rPr>
      </w:pPr>
      <w:r>
        <w:rPr>
          <w:rFonts w:hint="eastAsia" w:ascii="黑体" w:hAnsi="黑体" w:eastAsia="黑体" w:cs="黑体"/>
          <w:b w:val="0"/>
          <w:bCs w:val="0"/>
          <w:sz w:val="21"/>
          <w:szCs w:val="21"/>
        </w:rPr>
        <w:t>五、完善技术技能人才保障政策</w:t>
      </w:r>
    </w:p>
    <w:p>
      <w:pPr>
        <w:pStyle w:val="20"/>
        <w:spacing w:before="0" w:beforeAutospacing="0" w:after="0" w:afterAutospacing="0" w:line="360" w:lineRule="auto"/>
        <w:ind w:left="0" w:leftChars="0" w:firstLine="420" w:firstLineChars="200"/>
        <w:jc w:val="both"/>
        <w:rPr>
          <w:rFonts w:hint="eastAsia" w:ascii="楷体" w:hAnsi="楷体" w:eastAsia="楷体" w:cs="楷体"/>
          <w:sz w:val="21"/>
          <w:szCs w:val="21"/>
        </w:rPr>
      </w:pPr>
      <w:r>
        <w:rPr>
          <w:rFonts w:hint="eastAsia" w:ascii="楷体" w:hAnsi="楷体" w:eastAsia="楷体" w:cs="楷体"/>
          <w:sz w:val="21"/>
          <w:szCs w:val="21"/>
        </w:rPr>
        <w:t>（十五）提高技术技能人才待遇水平。</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支持技术技能人才凭技能提升待遇，鼓励企业职务职级晋升和工资分配向关键岗位、生产一线岗位和紧缺急需的高层次、高技能人才倾斜。建立国家技术技能大师库，鼓励技术技能大师建立大师工作室，并按规定给予政策和资金支持，支持技术技能大师到职业院校担任兼职教师，参与国家重大工程项目联合攻关。积极推动职业院校毕业生在落户、就业、参加机关事业单位招聘、职称评审、职级晋升等方面与普通高校毕业生享受同等待遇。逐步提高技术技能人才特别是技术工人收入水平和地位。机关和企事业单位招用人员不得歧视职业院校毕业生。国务院人力资源社会保障行政部门会同有关部门，适时组织清理调整对技术技能人才的歧视政策，推动形成人人皆可成才、人人尽展其才的良好环境。按照国家有关规定加大对职业院校参加有关技能大赛成绩突出毕业生的表彰奖励力度。办好职业教育活动周和世界青年技能日宣传活动，深入开展“大国工匠进校园”、“劳模进校园”、“优秀职校生校园分享”等活动，宣传展示大国工匠、能工巧匠和高素质劳动者的事迹和形象，培育和传承好工匠精神。</w:t>
      </w:r>
    </w:p>
    <w:p>
      <w:pPr>
        <w:pStyle w:val="20"/>
        <w:spacing w:before="0" w:beforeAutospacing="0" w:after="0" w:afterAutospacing="0" w:line="360" w:lineRule="auto"/>
        <w:ind w:left="0" w:leftChars="0" w:firstLine="420" w:firstLineChars="200"/>
        <w:jc w:val="both"/>
        <w:rPr>
          <w:rFonts w:hint="eastAsia" w:ascii="楷体" w:hAnsi="楷体" w:eastAsia="楷体" w:cs="楷体"/>
          <w:sz w:val="21"/>
          <w:szCs w:val="21"/>
        </w:rPr>
      </w:pPr>
      <w:r>
        <w:rPr>
          <w:rFonts w:hint="eastAsia" w:ascii="楷体" w:hAnsi="楷体" w:eastAsia="楷体" w:cs="楷体"/>
          <w:sz w:val="21"/>
          <w:szCs w:val="21"/>
        </w:rPr>
        <w:t>（十六）健全经费投入机制。</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各级政府要建立与办学规模、培养成本、办学质量等相适应的财政投入制度，地方政府要按规定制定并落实职业院校生均经费标准或公用经费标准。在保障教育合理投入的同时，优化教育支出结构，新增教育经费要向职业教育倾斜。鼓励社会力量捐资、出资兴办职业教育，拓宽办学筹资渠道。进一步完善中等职业学校生均拨款制度，各地中等职业学校生均财政拨款水平可适当高于当地普通高中。各地在继续巩固落实好高等职业教育生均财政拨款水平达到12000元的基础上，根据发展需要和财力可能逐步提高拨款水平。组织实施好现代职业教育质量提升计划、产教融合工程等。经费投入要进一步突出改革导向，支持校企合作，注重向中西部、贫困地区和民族地区倾斜。进一步扩大职业院校助学金覆盖面，完善补助标准动态调整机制，落实对建档立卡等家庭经济困难学生的倾斜政策，健全职业教育奖学金制度。</w:t>
      </w:r>
    </w:p>
    <w:p>
      <w:pPr>
        <w:pStyle w:val="20"/>
        <w:spacing w:before="0" w:beforeAutospacing="0" w:after="0" w:afterAutospacing="0" w:line="360" w:lineRule="auto"/>
        <w:ind w:left="0" w:leftChars="0" w:firstLine="420" w:firstLineChars="200"/>
        <w:jc w:val="both"/>
        <w:rPr>
          <w:rFonts w:hint="eastAsia" w:ascii="黑体" w:hAnsi="黑体" w:eastAsia="黑体" w:cs="黑体"/>
          <w:b w:val="0"/>
          <w:bCs w:val="0"/>
          <w:sz w:val="21"/>
          <w:szCs w:val="21"/>
        </w:rPr>
      </w:pPr>
      <w:r>
        <w:rPr>
          <w:rFonts w:hint="eastAsia" w:ascii="黑体" w:hAnsi="黑体" w:eastAsia="黑体" w:cs="黑体"/>
          <w:b w:val="0"/>
          <w:bCs w:val="0"/>
          <w:sz w:val="21"/>
          <w:szCs w:val="21"/>
        </w:rPr>
        <w:t>六、加强职业教育办学质量督导评价</w:t>
      </w:r>
    </w:p>
    <w:p>
      <w:pPr>
        <w:pStyle w:val="20"/>
        <w:spacing w:before="0" w:beforeAutospacing="0" w:after="0" w:afterAutospacing="0" w:line="360" w:lineRule="auto"/>
        <w:ind w:left="0" w:leftChars="0" w:firstLine="420" w:firstLineChars="200"/>
        <w:jc w:val="both"/>
        <w:rPr>
          <w:rFonts w:hint="eastAsia" w:ascii="楷体" w:hAnsi="楷体" w:eastAsia="楷体" w:cs="楷体"/>
          <w:sz w:val="21"/>
          <w:szCs w:val="21"/>
        </w:rPr>
      </w:pPr>
      <w:r>
        <w:rPr>
          <w:rFonts w:hint="eastAsia" w:ascii="楷体" w:hAnsi="楷体" w:eastAsia="楷体" w:cs="楷体"/>
          <w:sz w:val="21"/>
          <w:szCs w:val="21"/>
        </w:rPr>
        <w:t>（十七）建立健全职业教育质量评价和督导评估制度。</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以学习者的职业道德、技术技能水平和就业质量，以及产教融合、校企合作水平为核心，建立职业教育质量评价体系。定期对职业技能等级证书有关工作进行“双随机、一公开”的抽查和监督，从2019年起，对培训评价组织行为和职业院校培训质量进行监测和评估。实施职业教育质量年度报告制度，报告向社会公开。完善政府、行业、企业、职业院校等共同参与的质量评价机制，积极支持第三方机构开展评估，将考核结果作为政策支持、绩效考核、表彰奖励的重要依据。完善职业教育督导评估办法，建立职业教育定期督导评估和专项督导评估制度，落实督导报告、公报、约谈、限期整改、奖惩等制度。国务院教育督导委员会定期听取职业教育督导评估情况汇报。</w:t>
      </w:r>
    </w:p>
    <w:p>
      <w:pPr>
        <w:pStyle w:val="20"/>
        <w:spacing w:before="0" w:beforeAutospacing="0" w:after="0" w:afterAutospacing="0" w:line="360" w:lineRule="auto"/>
        <w:ind w:left="0" w:leftChars="0" w:firstLine="420" w:firstLineChars="200"/>
        <w:jc w:val="both"/>
        <w:rPr>
          <w:rFonts w:hint="eastAsia" w:ascii="楷体" w:hAnsi="楷体" w:eastAsia="楷体" w:cs="楷体"/>
          <w:sz w:val="21"/>
          <w:szCs w:val="21"/>
        </w:rPr>
      </w:pPr>
      <w:r>
        <w:rPr>
          <w:rFonts w:hint="eastAsia" w:ascii="楷体" w:hAnsi="楷体" w:eastAsia="楷体" w:cs="楷体"/>
          <w:sz w:val="21"/>
          <w:szCs w:val="21"/>
        </w:rPr>
        <w:t>（十八）支持组建国家职业教育指导咨询委员会。</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为把握正确的国家职业教育改革发展方向，创新我国职业教育改革发展模式，提出重大政策研究建议，参与起草、制订国家职业教育法律法规，开展重大改革调研，提供各种咨询意见，进一步提高政府决策科学化水平，规划并审议职业教育标准等，在政府指导下组建国家职业教育指导咨询委员会。成员包括政府人员、职业教育专家、行业企业专家、管理专家、职业教育研究人员、中华职业教育社等团体和社会各方面热心职业教育的人士。通过政府购买服务等方式，听取咨询机构提出的意见建议并鼓励社会和民间智库参与。政府可以委托国家职业教育指导咨询委员会作为第三方，对全国职业院校、普通高校、校企合作企业、培训评价组织的教育管理、教学质量、办学方式模式、师资培养、学生职业技能提升等情况，进行指导、考核、评估等。</w:t>
      </w:r>
    </w:p>
    <w:p>
      <w:pPr>
        <w:pStyle w:val="20"/>
        <w:spacing w:before="0" w:beforeAutospacing="0" w:after="0" w:afterAutospacing="0" w:line="360" w:lineRule="auto"/>
        <w:ind w:left="0" w:leftChars="0" w:firstLine="420" w:firstLineChars="200"/>
        <w:jc w:val="both"/>
        <w:rPr>
          <w:rFonts w:hint="eastAsia" w:ascii="黑体" w:hAnsi="黑体" w:eastAsia="黑体" w:cs="黑体"/>
          <w:b w:val="0"/>
          <w:bCs w:val="0"/>
          <w:sz w:val="21"/>
          <w:szCs w:val="21"/>
        </w:rPr>
      </w:pPr>
      <w:r>
        <w:rPr>
          <w:rFonts w:hint="eastAsia" w:ascii="黑体" w:hAnsi="黑体" w:eastAsia="黑体" w:cs="黑体"/>
          <w:b w:val="0"/>
          <w:bCs w:val="0"/>
          <w:sz w:val="21"/>
          <w:szCs w:val="21"/>
        </w:rPr>
        <w:t>七、做好改革组织实施工作</w:t>
      </w:r>
    </w:p>
    <w:p>
      <w:pPr>
        <w:pStyle w:val="20"/>
        <w:spacing w:before="0" w:beforeAutospacing="0" w:after="0" w:afterAutospacing="0" w:line="360" w:lineRule="auto"/>
        <w:ind w:left="0" w:leftChars="0" w:firstLine="420" w:firstLineChars="200"/>
        <w:jc w:val="both"/>
        <w:rPr>
          <w:rFonts w:hint="eastAsia" w:ascii="楷体" w:hAnsi="楷体" w:eastAsia="楷体" w:cs="楷体"/>
          <w:sz w:val="21"/>
          <w:szCs w:val="21"/>
        </w:rPr>
      </w:pPr>
      <w:r>
        <w:rPr>
          <w:rFonts w:hint="eastAsia" w:ascii="楷体" w:hAnsi="楷体" w:eastAsia="楷体" w:cs="楷体"/>
          <w:sz w:val="21"/>
          <w:szCs w:val="21"/>
        </w:rPr>
        <w:t>（十九）加强党对职业教育工作的全面领导。</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以习近平新时代中国特色社会主义思想特别是习近平总书记关于职业教育的重要论述武装头脑、指导实践、推动工作。加强党对教育事业的全面领导，全面贯彻党的教育方针，落实中央教育工作领导小组各项要求，保证职业教育改革发展正确方向。要充分发挥党组织在职业院校的领导核心和政治核心作用，牢牢把握学校意识形态工作领导权，将党建工作与学校事业发展同部署、同落实、同考评。指导职业院校上好思想政治理论课，实施好中等职业学校“文明风采”活动，推进职业教育领域“三全育人”综合改革试点工作，使各类课程与思想政治理论课同向同行，努力实现职业技能和职业精神培养高度融合。加强基层党组织建设，有效发挥基层党组织的战斗堡垒作用和共产党员的先锋模范作用，带动学校工会、共青团等群团组织和学生会组织建设，汇聚每一位师生员工的积极性和主动性。</w:t>
      </w:r>
    </w:p>
    <w:p>
      <w:pPr>
        <w:pStyle w:val="20"/>
        <w:spacing w:before="0" w:beforeAutospacing="0" w:after="0" w:afterAutospacing="0" w:line="360" w:lineRule="auto"/>
        <w:ind w:left="0" w:leftChars="0" w:firstLine="420" w:firstLineChars="200"/>
        <w:jc w:val="both"/>
        <w:rPr>
          <w:rFonts w:hint="eastAsia" w:ascii="楷体" w:hAnsi="楷体" w:eastAsia="楷体" w:cs="楷体"/>
          <w:sz w:val="21"/>
          <w:szCs w:val="21"/>
        </w:rPr>
      </w:pPr>
      <w:r>
        <w:rPr>
          <w:rFonts w:hint="eastAsia" w:ascii="楷体" w:hAnsi="楷体" w:eastAsia="楷体" w:cs="楷体"/>
          <w:sz w:val="21"/>
          <w:szCs w:val="21"/>
        </w:rPr>
        <w:t>（二十）完善国务院职业教育工作部际联席会议制度。</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国务院职业教育工作部际联席会议由教育、人力资源社会保障、发展改革、工业和信息化、财政、农业农村、国资、税务、扶贫等单位组成，国务院分管教育工作的副总理担任召集人。联席会议统筹协调全国职业教育工作，研究协调解决工作中重大问题，听取国家职业教育指导咨询委员会等方面的意见建议，部署实施职业教育改革创新重大事项，每年召开两次会议，各成员单位就有关工作情况向联席会议报告。国务院教育行政部门负责职业教育工作的统筹规划、综合协调、宏观管理，国务院教育行政部门、人力资源社会保障行政部门和其他有关部门在职责范围内，分别负责有关的职业教育工作。各成员单位要加强沟通协调，做好相关政策配套衔接，在国家和区域战略规划、重大项目安排、经费投入、企业办学、人力资源开发等方面形成政策合力。推动落实《中华人民共和国职业教育法》，为职业教育改革创新提供重要的制度保障。</w:t>
      </w:r>
    </w:p>
    <w:p>
      <w:pPr>
        <w:pStyle w:val="20"/>
        <w:spacing w:before="0" w:beforeAutospacing="0" w:after="0" w:afterAutospacing="0" w:line="360" w:lineRule="auto"/>
        <w:ind w:left="0" w:leftChars="0" w:firstLine="420" w:firstLineChars="200"/>
        <w:jc w:val="both"/>
        <w:rPr>
          <w:rFonts w:hint="eastAsia"/>
          <w:sz w:val="21"/>
          <w:szCs w:val="21"/>
        </w:rPr>
      </w:pPr>
    </w:p>
    <w:p>
      <w:pPr>
        <w:pStyle w:val="20"/>
        <w:spacing w:before="0" w:beforeAutospacing="0" w:after="0" w:afterAutospacing="0" w:line="360" w:lineRule="auto"/>
        <w:ind w:firstLine="420" w:firstLineChars="200"/>
        <w:jc w:val="right"/>
        <w:rPr>
          <w:sz w:val="21"/>
          <w:szCs w:val="21"/>
        </w:rPr>
      </w:pPr>
    </w:p>
    <w:bookmarkEnd w:id="4"/>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outlineLvl w:val="9"/>
        <w:rPr>
          <w:rFonts w:hint="eastAsia" w:ascii="宋体" w:hAnsi="宋体" w:eastAsia="宋体" w:cs="宋体"/>
          <w:i w:val="0"/>
          <w:caps w:val="0"/>
          <w:color w:val="333333"/>
          <w:spacing w:val="0"/>
          <w:sz w:val="24"/>
          <w:szCs w:val="24"/>
          <w:shd w:val="clear" w:fill="FFFFFF"/>
        </w:rPr>
      </w:pPr>
    </w:p>
    <w:p>
      <w:pPr>
        <w:pStyle w:val="3"/>
        <w:jc w:val="center"/>
        <w:rPr>
          <w:rFonts w:hint="eastAsia" w:ascii="宋体" w:hAnsi="宋体"/>
          <w:sz w:val="30"/>
          <w:szCs w:val="30"/>
        </w:rPr>
      </w:pPr>
      <w:bookmarkStart w:id="12" w:name="_Toc27589"/>
      <w:r>
        <w:rPr>
          <w:rFonts w:hint="eastAsia" w:ascii="宋体" w:hAnsi="宋体"/>
          <w:sz w:val="30"/>
          <w:szCs w:val="30"/>
        </w:rPr>
        <w:t>国务院办公厅关于在制定行政法规规章行政规范性文件过程中充分听取企业和行业协会商会意见的通知</w:t>
      </w:r>
      <w:bookmarkEnd w:id="12"/>
    </w:p>
    <w:p>
      <w:pPr>
        <w:pStyle w:val="3"/>
        <w:jc w:val="center"/>
        <w:rPr>
          <w:rFonts w:hint="eastAsia" w:ascii="宋体" w:hAnsi="宋体"/>
          <w:sz w:val="24"/>
          <w:szCs w:val="24"/>
        </w:rPr>
      </w:pPr>
      <w:bookmarkStart w:id="13" w:name="_Toc7947"/>
      <w:bookmarkStart w:id="14" w:name="_Toc9597"/>
      <w:r>
        <w:rPr>
          <w:rFonts w:hint="eastAsia" w:ascii="宋体" w:hAnsi="宋体"/>
          <w:sz w:val="24"/>
          <w:szCs w:val="24"/>
        </w:rPr>
        <w:t>国办发〔2019〕9号</w:t>
      </w:r>
      <w:bookmarkEnd w:id="13"/>
      <w:bookmarkEnd w:id="14"/>
    </w:p>
    <w:p>
      <w:pPr>
        <w:pStyle w:val="20"/>
        <w:spacing w:before="0" w:beforeAutospacing="0" w:after="0" w:afterAutospacing="0" w:line="360" w:lineRule="auto"/>
        <w:jc w:val="both"/>
        <w:rPr>
          <w:rFonts w:hint="eastAsia"/>
          <w:sz w:val="21"/>
          <w:szCs w:val="21"/>
        </w:rPr>
      </w:pPr>
      <w:r>
        <w:rPr>
          <w:rFonts w:hint="eastAsia"/>
          <w:sz w:val="21"/>
          <w:szCs w:val="21"/>
        </w:rPr>
        <w:t>各省、自治区、直辖市人民政府，国务院各部委、各直属机构：</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近年来，在制定与企业生产经营活动密切相关的行政法规、规章、行政规范性文件过程中，各地区、各部门通过扩大听取意见范围、拓宽听取意见渠道等方式，为企业和行业协会商会参与制度建设创造了条件，取得了积极成效，但听取意见对象覆盖面不广、代表性不足，征求意见事项针对性不强、程序不规范，意见采纳反馈机制不健全等问题还不同程度地存在，未能充分反映企业合理诉求、保障企业合法权益。为深入贯彻习近平新时代中国特色社会主义思想和党的十九大精神，推进政府职能转变和“放管服”改革，保障企业和行业协会商会在制度建设中的知情权、参与权、表达权和监督权，营造法治化、国际化、便利化的营商环境，经国务院同意，现就制定有关行政法规、规章、行政规范性文件过程中充分听取企业和行业协会商会意见通知如下：</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一、科学合理选择听取意见对象。在制定有关行政法规、规章、行政规范性文件过程中，各地区、各部门要科学评估拟设立制度对各类企业、行业可能产生的影响及其程度、范围，对企业切身利益或者权利义务有重大影响的，要充分听取有代表性的企业和行业协会商会以及律师协会的意见。有关行政法规、规章、行政规范性文件对不同企业、行业影响存在较大差别的，要注重听取各类有代表性的企业和行业协会商会的意见，特别是民营企业、劳动密集型企业、中小企业等市场主体的意见，综合考虑不同规模企业、行业的发展诉求、承受能力等因素；涉及特定行业、产业的，要有针对性地听取相关行业协会商会的意见；涉及特定地域的，要充分考虑当地经济社会发展水平和产业布局特色，充分听取地方行业协会商会、律师协会的意见。听取企业意见时，要注重听取企业内部不同层级代表特别是职工代表的意见。</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二、运用多种方式听取意见。行政法规、规章、行政规范性文件出台前，凡是与企业生产经营活动密切相关的，各地区、各部门都要通过多种方式听取企业和行业协会商会的意见，做好沟通协调，提高企业贯彻落实的积极性。除依法需要保密的外，要通过网络、报纸等媒体向社会公开征求意见，并有针对性地设计有利于企业和行业协会商会参与公开征求意见的各项工作机制；要在政府或者政府部门门户网站上搭建公开征求意见平台，积极探索与知名商业网站、影响力较大的行业协会商会的网站建立链接；要保证公开征求意见的期限，杜绝走形式、走过场。采取召开听证会、座谈会、论证会方式听取意见的，要提供制度设计的背景、目的、适用范围以及对相关人员或群体可能产生的影响等资料，引导企业和行业协会商会围绕主要问题和不同意见，进行充分有效的讨论。采取问卷调查、书面发函方式听取意见的，要围绕直接关系企业切身利益、各方面分歧较大的问题，科学设计问卷、调查提纲等，积极探索委托专业机构进行调查。采取实地走访方式听取意见的，要找准问题、开诚布公、平等交流，认真倾听企业和行业协会商会的意见，深入了解其诉求。对争议较大的事项，可以引入第三方评估，全面充分听取利益相关方的意见。</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三、完善意见研究采纳反馈机制。各地区、各部门对企业和行业协会商会提出的意见，要认真分析研究，充分考虑其利益诉求以及该利益诉求对其他相关企业、行业的影响，吸收采纳合理的意见。采纳情况要积极运用政府或者政府部门门户网站、移动客户端、微信公众号、报刊等方式向社会公布，或者通过电话、短信、电子邮件、信函等多种方式向有关单位反馈。对相对集中的意见未予采纳的，要通过适当方式进行反馈和说明。</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四、加强制度出台前后的联动协调。制定与企业生产经营活动密切相关的行政法规、规章、行政规范性文件，要结合实际设置合理的缓冲期，增强制度的可预期性，为企业执行制度留有一定的准备时间。要加强新出台规章的备案审查和行政规范性文件的合法性审核，维护法制统一，确保文件合法有效，为企业发展提供制度保障。制度出台后，要注重执行过程中的上下联动，坚持实事求是，避免执行中的简单化和“一刀切”，不能让市场主体无所适从。要注重制度实施效果监测，开展后评估工作，充分听取企业和行业协会商会对有关制度的实施效果评价和完善建议，将后评估结果作为有关制度立改废释的重要依据。</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五、注重收集企业对制度建设的诉求信息。拟订行政法规、规章、行政规范性文件制定计划时，要主动及时了解企业所需、困难所在，注重征集企业和行业协会商会的意见，积极研究论证企业和行业发展急需的制度建设项目。要有效发挥人大代表建议、政协委员提案等的作用，充分利用网上政务平台、移动客户端、政务服务中心等线上线下载体，全面了解企业和行业协会商会在制度建设方面的相关诉求。探索在行业协会商会建立基层联系点等制度。加大对有关制度建设意见建议的收集整理力度，增强有关行政法规、规章、行政规范性文件的针对性、有效性、可操作性。</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六、加强组织领导和监督检查。各地区、各部门要切实提高政治站位，坚持以人民为中心的发展思想，把在制度建设中充分听取企业和行业协会商会意见作为推进科学立法、民主立法、依法立法，加快建设法治政府，进一步优化营商环境的一项重要工作来抓。要加强组织领导，健全企业和行业协会商会参与制度建设工作机制，完善与企业的常态化联系，主动研究解决有关重大问题，多途径做好宣传工作，鼓励、支持、引导企业和行业协会商会积极有序参与制度建设。要加强综合协调和督促落实，广泛凝聚共识，形成工作合力，不断提高听取企业和行业协会商会意见的实效。要加强监督检查，建立健全行政法规、规章、行政规范性文件动态清理机制，加大规章备案审查和行政规范性文件合法性审核力度，对发现的问题及时纠正，对未按规定听取企业和行业协会商会意见的严格责任追究。</w:t>
      </w:r>
    </w:p>
    <w:p>
      <w:pPr>
        <w:pStyle w:val="20"/>
        <w:spacing w:before="0" w:beforeAutospacing="0" w:after="0" w:afterAutospacing="0" w:line="360" w:lineRule="auto"/>
        <w:ind w:left="0" w:leftChars="0" w:firstLine="420" w:firstLineChars="200"/>
        <w:jc w:val="right"/>
        <w:rPr>
          <w:rFonts w:hint="eastAsia"/>
          <w:sz w:val="21"/>
          <w:szCs w:val="21"/>
        </w:rPr>
      </w:pPr>
      <w:r>
        <w:rPr>
          <w:rFonts w:hint="eastAsia"/>
          <w:sz w:val="21"/>
          <w:szCs w:val="21"/>
        </w:rPr>
        <w:t>国务院办公厅</w:t>
      </w:r>
    </w:p>
    <w:p>
      <w:pPr>
        <w:pStyle w:val="20"/>
        <w:spacing w:before="0" w:beforeAutospacing="0" w:after="0" w:afterAutospacing="0" w:line="360" w:lineRule="auto"/>
        <w:ind w:left="0" w:leftChars="0" w:firstLine="420" w:firstLineChars="200"/>
        <w:jc w:val="right"/>
        <w:rPr>
          <w:rFonts w:hint="eastAsia"/>
          <w:sz w:val="21"/>
          <w:szCs w:val="21"/>
        </w:rPr>
      </w:pPr>
      <w:r>
        <w:rPr>
          <w:rFonts w:hint="eastAsia"/>
          <w:sz w:val="21"/>
          <w:szCs w:val="21"/>
        </w:rPr>
        <w:t>2019年3月1日</w:t>
      </w:r>
    </w:p>
    <w:p>
      <w:pPr>
        <w:pStyle w:val="20"/>
        <w:spacing w:before="0" w:beforeAutospacing="0" w:after="0" w:afterAutospacing="0" w:line="360" w:lineRule="auto"/>
        <w:ind w:left="0" w:leftChars="0" w:firstLine="420" w:firstLineChars="200"/>
        <w:jc w:val="right"/>
        <w:rPr>
          <w:rFonts w:hint="eastAsia"/>
          <w:sz w:val="21"/>
          <w:szCs w:val="21"/>
        </w:rPr>
      </w:pPr>
    </w:p>
    <w:p>
      <w:pPr>
        <w:pStyle w:val="20"/>
        <w:spacing w:before="0" w:beforeAutospacing="0" w:after="0" w:afterAutospacing="0" w:line="360" w:lineRule="auto"/>
        <w:ind w:left="0" w:leftChars="0" w:firstLine="420" w:firstLineChars="200"/>
        <w:jc w:val="right"/>
        <w:rPr>
          <w:rFonts w:hint="eastAsia"/>
          <w:sz w:val="21"/>
          <w:szCs w:val="21"/>
        </w:rPr>
      </w:pPr>
    </w:p>
    <w:p>
      <w:pPr>
        <w:pStyle w:val="20"/>
        <w:spacing w:before="0" w:beforeAutospacing="0" w:after="0" w:afterAutospacing="0" w:line="360" w:lineRule="auto"/>
        <w:ind w:left="0" w:leftChars="0" w:firstLine="420" w:firstLineChars="200"/>
        <w:jc w:val="right"/>
        <w:rPr>
          <w:rFonts w:hint="eastAsia"/>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2" w:lineRule="atLeast"/>
        <w:ind w:left="0" w:right="0" w:firstLine="0"/>
        <w:jc w:val="center"/>
        <w:rPr>
          <w:rFonts w:hint="eastAsia" w:ascii="宋体" w:hAnsi="宋体" w:eastAsia="宋体" w:cs="Times New Roman"/>
          <w:b/>
          <w:bCs/>
          <w:kern w:val="2"/>
          <w:sz w:val="30"/>
          <w:szCs w:val="30"/>
          <w:lang w:val="en-US" w:eastAsia="zh-CN" w:bidi="ar-SA"/>
        </w:rPr>
      </w:pPr>
      <w:bookmarkStart w:id="15" w:name="_Toc7808"/>
      <w:r>
        <w:rPr>
          <w:rFonts w:hint="eastAsia" w:ascii="宋体" w:hAnsi="宋体" w:eastAsia="宋体" w:cs="Times New Roman"/>
          <w:b/>
          <w:bCs/>
          <w:kern w:val="2"/>
          <w:sz w:val="30"/>
          <w:szCs w:val="30"/>
          <w:lang w:val="en-US" w:eastAsia="zh-CN" w:bidi="ar-SA"/>
        </w:rPr>
        <w:t>中共中央办公厅 国务院办公厅印发《关于促进中小企业健康发展的指导意见》</w:t>
      </w:r>
      <w:bookmarkEnd w:id="15"/>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898989"/>
          <w:spacing w:val="0"/>
          <w:sz w:val="16"/>
          <w:szCs w:val="16"/>
        </w:rPr>
      </w:pPr>
      <w:r>
        <w:rPr>
          <w:rFonts w:hint="eastAsia" w:ascii="宋体" w:hAnsi="宋体" w:eastAsia="宋体" w:cs="宋体"/>
          <w:i w:val="0"/>
          <w:caps w:val="0"/>
          <w:color w:val="000000"/>
          <w:spacing w:val="0"/>
          <w:kern w:val="0"/>
          <w:sz w:val="16"/>
          <w:szCs w:val="16"/>
          <w:u w:val="none"/>
          <w:shd w:val="clear" w:fill="FFFFFF"/>
          <w:lang w:val="en-US" w:eastAsia="zh-CN" w:bidi="ar"/>
        </w:rPr>
        <w:fldChar w:fldCharType="begin"/>
      </w:r>
      <w:r>
        <w:rPr>
          <w:rFonts w:hint="eastAsia" w:ascii="宋体" w:hAnsi="宋体" w:eastAsia="宋体" w:cs="宋体"/>
          <w:i w:val="0"/>
          <w:caps w:val="0"/>
          <w:color w:val="000000"/>
          <w:spacing w:val="0"/>
          <w:kern w:val="0"/>
          <w:sz w:val="16"/>
          <w:szCs w:val="16"/>
          <w:u w:val="none"/>
          <w:shd w:val="clear" w:fill="FFFFFF"/>
          <w:lang w:val="en-US" w:eastAsia="zh-CN" w:bidi="ar"/>
        </w:rPr>
        <w:instrText xml:space="preserve"> HYPERLINK "http://www.gov.cn/zhengce/2019-04/07/content_5380299.htm" \o "微信" </w:instrText>
      </w:r>
      <w:r>
        <w:rPr>
          <w:rFonts w:hint="eastAsia" w:ascii="宋体" w:hAnsi="宋体" w:eastAsia="宋体" w:cs="宋体"/>
          <w:i w:val="0"/>
          <w:caps w:val="0"/>
          <w:color w:val="000000"/>
          <w:spacing w:val="0"/>
          <w:kern w:val="0"/>
          <w:sz w:val="16"/>
          <w:szCs w:val="16"/>
          <w:u w:val="none"/>
          <w:shd w:val="clear" w:fill="FFFFFF"/>
          <w:lang w:val="en-US" w:eastAsia="zh-CN" w:bidi="ar"/>
        </w:rPr>
        <w:fldChar w:fldCharType="separate"/>
      </w:r>
      <w:r>
        <w:rPr>
          <w:rStyle w:val="28"/>
          <w:rFonts w:hint="eastAsia" w:ascii="宋体" w:hAnsi="宋体" w:eastAsia="宋体" w:cs="宋体"/>
          <w:i w:val="0"/>
          <w:caps w:val="0"/>
          <w:color w:val="000000"/>
          <w:spacing w:val="0"/>
          <w:sz w:val="16"/>
          <w:szCs w:val="16"/>
          <w:u w:val="none"/>
          <w:shd w:val="clear" w:fill="FFFFFF"/>
        </w:rPr>
        <w:t> </w:t>
      </w:r>
      <w:r>
        <w:rPr>
          <w:rFonts w:hint="eastAsia" w:ascii="宋体" w:hAnsi="宋体" w:eastAsia="宋体" w:cs="宋体"/>
          <w:i w:val="0"/>
          <w:caps w:val="0"/>
          <w:color w:val="000000"/>
          <w:spacing w:val="0"/>
          <w:kern w:val="0"/>
          <w:sz w:val="16"/>
          <w:szCs w:val="16"/>
          <w:u w:val="none"/>
          <w:shd w:val="clear" w:fill="FFFFFF"/>
          <w:lang w:val="en-US" w:eastAsia="zh-CN" w:bidi="ar"/>
        </w:rPr>
        <w:fldChar w:fldCharType="end"/>
      </w:r>
      <w:r>
        <w:rPr>
          <w:rFonts w:hint="eastAsia" w:ascii="宋体" w:hAnsi="宋体" w:eastAsia="宋体" w:cs="宋体"/>
          <w:i w:val="0"/>
          <w:caps w:val="0"/>
          <w:color w:val="000000"/>
          <w:spacing w:val="0"/>
          <w:kern w:val="0"/>
          <w:sz w:val="16"/>
          <w:szCs w:val="16"/>
          <w:u w:val="none"/>
          <w:shd w:val="clear" w:fill="FFFFFF"/>
          <w:lang w:val="en-US" w:eastAsia="zh-CN" w:bidi="ar"/>
        </w:rPr>
        <w:fldChar w:fldCharType="begin"/>
      </w:r>
      <w:r>
        <w:rPr>
          <w:rFonts w:hint="eastAsia" w:ascii="宋体" w:hAnsi="宋体" w:eastAsia="宋体" w:cs="宋体"/>
          <w:i w:val="0"/>
          <w:caps w:val="0"/>
          <w:color w:val="000000"/>
          <w:spacing w:val="0"/>
          <w:kern w:val="0"/>
          <w:sz w:val="16"/>
          <w:szCs w:val="16"/>
          <w:u w:val="none"/>
          <w:shd w:val="clear" w:fill="FFFFFF"/>
          <w:lang w:val="en-US" w:eastAsia="zh-CN" w:bidi="ar"/>
        </w:rPr>
        <w:instrText xml:space="preserve"> HYPERLINK "http://www.gov.cn/zhengce/2019-04/07/content_5380299.htm" \o "新浪微博" </w:instrText>
      </w:r>
      <w:r>
        <w:rPr>
          <w:rFonts w:hint="eastAsia" w:ascii="宋体" w:hAnsi="宋体" w:eastAsia="宋体" w:cs="宋体"/>
          <w:i w:val="0"/>
          <w:caps w:val="0"/>
          <w:color w:val="000000"/>
          <w:spacing w:val="0"/>
          <w:kern w:val="0"/>
          <w:sz w:val="16"/>
          <w:szCs w:val="16"/>
          <w:u w:val="none"/>
          <w:shd w:val="clear" w:fill="FFFFFF"/>
          <w:lang w:val="en-US" w:eastAsia="zh-CN" w:bidi="ar"/>
        </w:rPr>
        <w:fldChar w:fldCharType="separate"/>
      </w:r>
      <w:r>
        <w:rPr>
          <w:rStyle w:val="28"/>
          <w:rFonts w:hint="eastAsia" w:ascii="宋体" w:hAnsi="宋体" w:eastAsia="宋体" w:cs="宋体"/>
          <w:i w:val="0"/>
          <w:caps w:val="0"/>
          <w:color w:val="000000"/>
          <w:spacing w:val="0"/>
          <w:sz w:val="16"/>
          <w:szCs w:val="16"/>
          <w:u w:val="none"/>
          <w:shd w:val="clear" w:fill="FFFFFF"/>
        </w:rPr>
        <w:t> </w:t>
      </w:r>
      <w:r>
        <w:rPr>
          <w:rFonts w:hint="eastAsia" w:ascii="宋体" w:hAnsi="宋体" w:eastAsia="宋体" w:cs="宋体"/>
          <w:i w:val="0"/>
          <w:caps w:val="0"/>
          <w:color w:val="000000"/>
          <w:spacing w:val="0"/>
          <w:kern w:val="0"/>
          <w:sz w:val="16"/>
          <w:szCs w:val="16"/>
          <w:u w:val="none"/>
          <w:shd w:val="clear" w:fill="FFFFFF"/>
          <w:lang w:val="en-US" w:eastAsia="zh-CN" w:bidi="ar"/>
        </w:rPr>
        <w:fldChar w:fldCharType="end"/>
      </w:r>
      <w:r>
        <w:rPr>
          <w:rStyle w:val="65"/>
          <w:rFonts w:hint="eastAsia" w:ascii="宋体" w:hAnsi="宋体" w:eastAsia="宋体" w:cs="宋体"/>
          <w:i w:val="0"/>
          <w:caps w:val="0"/>
          <w:color w:val="898989"/>
          <w:spacing w:val="0"/>
          <w:kern w:val="0"/>
          <w:sz w:val="16"/>
          <w:szCs w:val="16"/>
          <w:shd w:val="clear" w:fill="FFFFFF"/>
          <w:lang w:val="en-US" w:eastAsia="zh-CN" w:bidi="ar"/>
        </w:rPr>
        <w:t> </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新华社北京4月7日电 近日，中共中央办公厅、国务院办公厅印发了《关于促进中小企业健康发展的指导意见》，并发出通知，要求各地区各部门结合实际认真贯彻落实。</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《关于促进中小企业健康发展的指导意见》全文如下。</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中小企业是国民经济和社会发展的生力军，是扩大就业、改善民生、促进创业创新的重要力量，在稳增长、促改革、调结构、惠民生、防风险中发挥着重要作用。党中央、国务院高度重视中小企业发展，在财税金融、营商环境、公共服务等方面出台一系列政策措施，取得积极成效。同时，随着国际国内市场环境变化，中小企业面临的生产成本上升、融资难融资贵、创新发展能力不足等问题日益突出，必须引起高度重视。为促进中小企业健康发展，现提出如下意见。</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rPr>
      </w:pPr>
      <w:r>
        <w:rPr>
          <w:rFonts w:hint="eastAsia" w:ascii="黑体" w:hAnsi="黑体" w:eastAsia="黑体" w:cs="黑体"/>
          <w:sz w:val="21"/>
          <w:szCs w:val="21"/>
        </w:rPr>
        <w:t>一、指导思想</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以习近平新时代中国特色社会主义思想为指导，全面贯彻党的十九大和十九届二中、三中全会精神，坚持和完善我国社会主义基本经济制度，坚持“两个毫不动摇”，坚持稳中求进工作总基调，坚持新发展理念，以供给侧结构性改革为主线，以提高发展质量和效益为中心，按照竞争中性原则，打造公平便捷营商环境，进一步激发中小企业活力和发展动力。认真实施中小企业促进法，纾解中小企业困难，稳定和增强企业信心及预期，加大创新支持力度，提升中小企业专业化发展能力和大中小企业融通发展水平，促进中小企业健康发展。</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rPr>
      </w:pPr>
      <w:r>
        <w:rPr>
          <w:rFonts w:hint="eastAsia" w:ascii="黑体" w:hAnsi="黑体" w:eastAsia="黑体" w:cs="黑体"/>
          <w:sz w:val="21"/>
          <w:szCs w:val="21"/>
        </w:rPr>
        <w:t>二、营造良好发展环境</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一）进一步放宽市场准入。坚决破除各种不合理门槛和限制，在市场准入、审批许可、招标投标、军民融合发展等方面打造公平竞争环境，提供充足市场空间。不断缩减市场准入负面清单事项，推进“非禁即入”普遍落实，最大程度实现准入便利化。</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二）主动服务中小企业。进一步深化对中小企业的“放管服”改革。继续推进商事制度改革，推动企业注册登记、注销更加便利化。推进环评制度改革，落实环境影响登记表备案制，将项目环评审批时限压缩至法定时限的一半。落实好公平竞争审查制度，营造公平、开放、透明的市场环境，清理废除妨碍统一市场和公平竞争的各种规定和做法。主动服务企业，对企业发展中遇到的困难，要“一企一策”给予帮助。</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三）实行公平统一的市场监管制度。创新监管方式，寓监管于服务之中。避免在安监、环保等领域微观执法和金融机构去杠杆中对中小企业采取简单粗暴的处置措施。深入推进反垄断、反不正当竞争执法，保障中小企业公平参与市场竞争。坚决保护企业及其出资人的财产权和其他合法权益，任何单位和个人不得侵犯中小企业财产及其合法收益。严格禁止各种刁难限制中小企业发展的行为，对违反规定的问责追责。</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rPr>
      </w:pPr>
      <w:r>
        <w:rPr>
          <w:rFonts w:hint="eastAsia" w:ascii="黑体" w:hAnsi="黑体" w:eastAsia="黑体" w:cs="黑体"/>
          <w:sz w:val="21"/>
          <w:szCs w:val="21"/>
        </w:rPr>
        <w:t>三、破解融资难融资贵问题</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一）完善中小企业融资政策。进一步落实普惠金融定向降准政策。加大再贴现对小微企业支持力度，重点支持小微企业500万元及以下小额票据贴现。将支小再贷款政策适用范围扩大到符合条件的中小银行（含新型互联网银行）。将单户授信1000万元及以下的小微企业贷款纳入中期借贷便利的合格担保品范围。</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二）积极拓宽融资渠道。进一步完善债券发行机制，实施民营企业债券融资支持工具，采取出售信用风险缓释凭证、提供信用增进服务等多种方式，支持经营正常、面临暂时流动性紧张的民营企业合理债券融资需求。探索实施民营企业股权融资支持工具，鼓励设立市场化运作的专项基金开展民营企业兼并收购或财务投资。大力发展高收益债券、私募债、双创专项债务融资工具、创业投资基金类债券、创新创业企业专项债券等产品。研究促进中小企业依托应收账款、供应链金融、特许经营权等进行融资。完善知识产权质押融资风险分担补偿机制，发挥知识产权增信增贷作用。引导金融机构对小微企业发放中长期贷款，开发续贷产品。</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三）支持利用资本市场直接融资。加快中小企业首发上市进度，为主业突出、规范运作的中小企业上市提供便利。深化发行、交易、信息披露等改革，支持中小企业在新三板挂牌融资。推进创新创业公司债券试点，完善创新创业可转债转股机制。研究允许挂牌企业发行可转换公司债。落实创业投资基金股份减持比例与投资期限的反向挂钩制度，鼓励支持早期创新创业。鼓励地方知识产权运营基金等专业化基金服务中小企业创新发展。对存在股票质押风险的企业，要按照市场化、法治化原则研究制定相关过渡性机制，根据企业具体情况采取防范化解风险措施。</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四）减轻企业融资负担。鼓励金融机构扩大出口信用保险保单融资和出口退税账户质押融资，满足进出口企业金融服务需求。加快发挥国家融资担保基金作用，引导担保机构逐步取消反担保，降低担保费率。清理规范中小企业融资时强制要求办理的担保、保险、评估、公证等事项，减少融资过程中的附加费用，降低融资成本；相关费用无法减免的，由地方财政根据实际制定鼓励降低取费标准的奖补措施。</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五）建立分类监管考核机制。研究放宽小微企业贷款享受风险资本优惠权重的单户额度限制，进一步释放商业银行投放小微企业贷款的经济资本。修订金融企业绩效评价办法，适当放宽考核指标要求，激励金融机构加大对小微企业的信贷投入。指导银行业金融机构夯实对小微业务的内部激励传导机制，优化信贷资源配置、完善绩效考核方案、适当降低利润考核指标权重，安排专项激励费用；鼓励对小微业务推行内部资金转移价格优惠措施；细化小微企业贷款不良容忍度管理，完善授信尽职免责规定，加大对基层机构发放民营企业、小微企业贷款的激励力度，提高民营企业、小微企业信贷占比；提高信贷风险管控能力、落实规范服务收费政策。</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rPr>
      </w:pPr>
      <w:r>
        <w:rPr>
          <w:rFonts w:hint="eastAsia" w:ascii="黑体" w:hAnsi="黑体" w:eastAsia="黑体" w:cs="黑体"/>
          <w:sz w:val="21"/>
          <w:szCs w:val="21"/>
        </w:rPr>
        <w:t>四、完善财税支持政策</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一）改进财税对小微企业融资的支持。落实对小微企业融资担保降费奖补政策，中央财政安排奖补资金，引导地方支持扩大实体经济领域小微企业融资担保业务规模，降低融资担保成本。进一步降低创业担保贷款贴息的政策门槛，中央财政安排资金支持地方给予小微企业创业担保贷款贴息及奖补，同时推进相关统计监测和分析工作。落实金融机构单户授信1000万元及以下小微企业和个体工商户贷款利息收入免征增值税政策、贷款损失准备金所得税税前扣除政策。</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二）减轻中小企业税费负担。清理规范涉企收费，加快推进地方涉企行政事业性收费零收费。推进增值税等实质性减税，对小微企业、科技型初创企业实施普惠性税收减免。根据实际情况，降低社会保险费率，支持中小企业吸纳就业。</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三）完善政府采购支持中小企业的政策。各级政府要为中小企业开展政府采购项下融资业务提供便利，依法及时公开政府采购合同等信息。研究修订政府采购促进中小企业发展暂行办法，采取预算预留、消除门槛、评审优惠等手段，落实政府采购促进中小企业发展政策。在政府采购活动中，向专精特新中小企业倾斜。</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四）充分发挥各类基金的引导带动作用。推动国家中小企业发展基金走市场化、公司化和职业经理人的制度建设道路，使其支持种子期、初创期成长型中小企业发展，在促进中小企业转型升级、实现高质量发展中发挥更大作用。大力推进国家级新兴产业发展基金、军民融合产业投资基金的实施和运营，支持战略性新兴产业、军民融合产业领域优质企业融资。</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rPr>
      </w:pPr>
      <w:r>
        <w:rPr>
          <w:rFonts w:hint="eastAsia" w:ascii="黑体" w:hAnsi="黑体" w:eastAsia="黑体" w:cs="黑体"/>
          <w:sz w:val="21"/>
          <w:szCs w:val="21"/>
        </w:rPr>
        <w:t>五、提升创新发展能力</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一）完善创新创业环境。加强中央财政对中小企业技术创新的支持。通过国家科技计划加大对中小企业科技创新的支持力度，调整完善科技计划立项、任务部署和组织管理方式，大幅度提高中小企业承担研发任务的比例。鼓励大型企业向中小企业开放共享资源，围绕创新链、产业链打造大中小企业协同发展的创新网络。推动专业化众创空间提升服务能力，实现对创新创业的精准支持。健全科技资源开放共享机制，鼓励科研机构、高等学校搭建网络管理平台，建立高效对接机制，推动大型科研仪器和实验设施向中小企业开放。鼓励中小企业参与共建国家重大科研基础设施。中央财政安排资金支持一批国家级和省级开发区打造大中小企业融通型、专业资本集聚型、科技资源支撑型、高端人才引领型等特色载体。</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二）切实保护知识产权。运用互联网、大数据等手段，通过源头追溯、实时监测、在线识别等强化知识产权保护，加快建立侵权惩罚性赔偿制度，提高违法成本，保护中小企业创新研发成果。组织实施中小企业知识产权战略推进工程，开展专利导航，助推中小企业技术研发布局，推广知识产权辅导、预警、代理、托管等服务。</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三）引导中小企业专精特新发展。支持推动中小企业转型升级，聚焦主业，增强核心竞争力，不断提高发展质量和水平，走专精特新发展道路。研究制定专精特新评价体系，建立动态企业库。以专精特新中小企业为基础，在核心基础零部件（元器件）、关键基础材料、先进基础工艺和产业技术基础等领域，培育一批主营业务突出、竞争力强、成长性好的专精特新“小巨人”企业。实施大中小企业融通发展专项工程，打造一批融通发展典型示范和新模式。围绕要素汇集、能力开放、模式创新、区域合作等领域分别培育一批制造业双创平台试点示范项目，引领制造业融通发展迈上新台阶。</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四）为中小企业提供信息化服务。推进发展“互联网+中小企业”，鼓励大型企业及专业服务机构建设面向中小企业的云制造平台和云服务平台，发展适合中小企业智能制造需求的产品、解决方案和工具包，完善中小企业智能制造支撑服务体系。推动中小企业业务系统云化部署，引导有基础、有条件的中小企业推进生产线智能化改造，推动低成本、模块化的智能制造设备和系统在中小企业部署应用。大力推动降低中西部地区中小企业宽带专线接入资费水平。</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rPr>
      </w:pPr>
      <w:r>
        <w:rPr>
          <w:rFonts w:hint="eastAsia" w:ascii="黑体" w:hAnsi="黑体" w:eastAsia="黑体" w:cs="黑体"/>
          <w:sz w:val="21"/>
          <w:szCs w:val="21"/>
        </w:rPr>
        <w:t>六、改进服务保障工作</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一）完善公共服务体系。规范中介机构行为，提升会计、律师、资产评估、信息等各方面中介服务质量水平，优先为中小企业提供优质高效的信息咨询、创业辅导、技术支持、投资融资、知识产权、财会税务、法律咨询等服务。加强中小企业公共服务示范平台建设和培育。搭建跨部门的中小企业政策信息互联网发布平台，及时汇集涉及中小企业的法律法规、创新创业、财税金融、权益保护等各类政策和政府服务信息，实现中小企业政策信息一站式服务。建立完善对中小企业的统计调查、监测分析和定期发布制度。</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二）推动信用信息共享。进一步完善小微企业名录，积极推进银商合作。依托国家企业信用信息公示系统和小微企业名录，建立完善小微企业数据库。依托全国公共信用信息共享平台建设全国中小企业融资综合信用服务平台，开发“信易贷”，与商业银行共享注册登记、行政许可、行政处罚、“黑名单”以及纳税、社保、水电煤气、仓储物流等信息，改善银企信息不对称，提高信用状况良好中小企业的信用评分和贷款可得性。</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三）重视培育企业家队伍。继续做好中小企业经营管理领军人才培训，提升中小企业经营管理水平。健全宽容失败的有效保护机制，为企业家成长创造良好环境。完善人才待遇政策保障和分类评价制度。构建亲清政商关系，推动企业家参与制定涉企政策，充分听取企业家意见建议。树立优秀企业家典型，大力弘扬企业家精神。</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四）支持对外合作与交流。优化海关流程、简化办事手续，降低企业通关成本。深化双多边合作，加强在促进政策、贸易投资、科技创新等领域的中小企业交流与合作。支持有条件的地方建设中外中小企业合作区。鼓励中小企业服务机构、协会等探索在条件成熟的国家和地区设立“中小企业中心”。继续办好中国国际中小企业博览会，支持中小企业参加境内外展览展销活动。</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rPr>
      </w:pPr>
      <w:r>
        <w:rPr>
          <w:rFonts w:hint="eastAsia" w:ascii="黑体" w:hAnsi="黑体" w:eastAsia="黑体" w:cs="黑体"/>
          <w:sz w:val="21"/>
          <w:szCs w:val="21"/>
        </w:rPr>
        <w:t>七、强化组织领导和统筹协调</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一）加强支持和统筹指导。各级党委和政府要认真贯彻党中央、国务院关于支持中小企业发展的决策部署，积极采取有针对性的措施，在政策、融资、营商环境等方面主动帮助企业解决实际困难。各有关部门要加强对中小企业存在问题的调研，并按照分工要求抓紧出台解决办法，同时对好的经验予以积极推广。加强促进中小企业发展工作组织机构和工作机制建设，充分发挥组织领导、政策协调、指导督促作用，明确部门责任和分工，加强监督检查，推动政策落实。</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二）加强工作督导评估。国务院促进中小企业发展工作领导小组办公室要加强对促进中小企业健康发展工作的督导，委托第三方机构定期开展中小企业发展环境评估并向社会公布。各地方政府根据实际情况组织开展中小企业发展环境评估。</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三）营造良好舆论氛围。大力宣传促进中小企业发展的方针政策与法律法规，强调中小企业在国民经济和社会发展中的重要地位和作用，表彰中小企业发展和服务中小企业工作中涌现出的先进典型，让企业有更多获得感和荣誉感，形成有利于中小企业健康发展的良好社会舆论环境。</w:t>
      </w:r>
    </w:p>
    <w:p>
      <w:pPr>
        <w:pStyle w:val="20"/>
        <w:spacing w:before="0" w:beforeAutospacing="0" w:after="0" w:afterAutospacing="0" w:line="360" w:lineRule="auto"/>
        <w:ind w:left="0" w:leftChars="0" w:firstLine="420" w:firstLineChars="200"/>
        <w:jc w:val="right"/>
        <w:rPr>
          <w:rFonts w:hint="eastAsia"/>
          <w:sz w:val="21"/>
          <w:szCs w:val="21"/>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outlineLvl w:val="9"/>
        <w:rPr>
          <w:rFonts w:hint="eastAsia" w:ascii="宋体" w:hAnsi="宋体" w:eastAsia="宋体" w:cs="宋体"/>
          <w:i w:val="0"/>
          <w:caps w:val="0"/>
          <w:color w:val="333333"/>
          <w:spacing w:val="0"/>
          <w:sz w:val="24"/>
          <w:szCs w:val="24"/>
          <w:shd w:val="clear"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outlineLvl w:val="9"/>
        <w:rPr>
          <w:rFonts w:hint="eastAsia" w:ascii="宋体" w:hAnsi="宋体" w:eastAsia="宋体" w:cs="宋体"/>
          <w:i w:val="0"/>
          <w:caps w:val="0"/>
          <w:color w:val="333333"/>
          <w:spacing w:val="0"/>
          <w:sz w:val="24"/>
          <w:szCs w:val="24"/>
          <w:shd w:val="clear"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outlineLvl w:val="9"/>
        <w:rPr>
          <w:rFonts w:hint="eastAsia" w:ascii="宋体" w:hAnsi="宋体" w:eastAsia="宋体" w:cs="宋体"/>
          <w:i w:val="0"/>
          <w:caps w:val="0"/>
          <w:color w:val="333333"/>
          <w:spacing w:val="0"/>
          <w:sz w:val="24"/>
          <w:szCs w:val="24"/>
          <w:shd w:val="clear" w:fill="FFFFFF"/>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宋体" w:hAnsi="宋体" w:eastAsia="宋体" w:cs="宋体"/>
          <w:i w:val="0"/>
          <w:caps w:val="0"/>
          <w:color w:val="333333"/>
          <w:spacing w:val="0"/>
          <w:sz w:val="30"/>
          <w:szCs w:val="30"/>
        </w:rPr>
      </w:pPr>
      <w:bookmarkStart w:id="16" w:name="_Toc16869"/>
      <w:r>
        <w:rPr>
          <w:rFonts w:hint="eastAsia" w:ascii="宋体" w:hAnsi="宋体" w:eastAsia="宋体" w:cs="宋体"/>
          <w:b/>
          <w:i w:val="0"/>
          <w:caps w:val="0"/>
          <w:color w:val="333333"/>
          <w:spacing w:val="0"/>
          <w:sz w:val="30"/>
          <w:szCs w:val="30"/>
          <w:shd w:val="clear" w:fill="FFFFFF"/>
        </w:rPr>
        <w:t>国务院关于推进国家级经济技术开发区创新提升</w:t>
      </w:r>
      <w:bookmarkEnd w:id="16"/>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宋体" w:hAnsi="宋体" w:eastAsia="宋体" w:cs="宋体"/>
          <w:i w:val="0"/>
          <w:caps w:val="0"/>
          <w:color w:val="333333"/>
          <w:spacing w:val="0"/>
          <w:sz w:val="30"/>
          <w:szCs w:val="30"/>
        </w:rPr>
      </w:pPr>
      <w:bookmarkStart w:id="17" w:name="_Toc19894"/>
      <w:bookmarkStart w:id="18" w:name="_Toc2145"/>
      <w:bookmarkStart w:id="19" w:name="_Toc20005"/>
      <w:bookmarkStart w:id="20" w:name="_Toc20843"/>
      <w:bookmarkStart w:id="21" w:name="_Toc6045"/>
      <w:bookmarkStart w:id="22" w:name="_Toc23236"/>
      <w:bookmarkStart w:id="23" w:name="_Toc27037"/>
      <w:r>
        <w:rPr>
          <w:rFonts w:hint="eastAsia" w:ascii="宋体" w:hAnsi="宋体" w:eastAsia="宋体" w:cs="宋体"/>
          <w:b/>
          <w:i w:val="0"/>
          <w:caps w:val="0"/>
          <w:color w:val="333333"/>
          <w:spacing w:val="0"/>
          <w:sz w:val="30"/>
          <w:szCs w:val="30"/>
          <w:shd w:val="clear" w:fill="FFFFFF"/>
        </w:rPr>
        <w:t>打造改革开放新高地的意见</w:t>
      </w:r>
      <w:bookmarkEnd w:id="17"/>
      <w:bookmarkEnd w:id="18"/>
      <w:bookmarkEnd w:id="19"/>
      <w:bookmarkEnd w:id="20"/>
      <w:bookmarkEnd w:id="21"/>
      <w:bookmarkEnd w:id="22"/>
      <w:bookmarkEnd w:id="23"/>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宋体" w:hAnsi="宋体" w:eastAsia="宋体" w:cs="宋体"/>
          <w:i w:val="0"/>
          <w:caps w:val="0"/>
          <w:color w:val="333333"/>
          <w:spacing w:val="0"/>
          <w:sz w:val="24"/>
          <w:szCs w:val="24"/>
        </w:rPr>
      </w:pPr>
      <w:bookmarkStart w:id="24" w:name="_Toc17711"/>
      <w:r>
        <w:rPr>
          <w:rFonts w:ascii="楷体" w:hAnsi="楷体" w:eastAsia="楷体" w:cs="楷体"/>
          <w:i w:val="0"/>
          <w:caps w:val="0"/>
          <w:color w:val="333333"/>
          <w:spacing w:val="0"/>
          <w:sz w:val="24"/>
          <w:szCs w:val="24"/>
          <w:shd w:val="clear" w:fill="FFFFFF"/>
        </w:rPr>
        <w:t>国发〔2019〕11号</w:t>
      </w:r>
      <w:bookmarkEnd w:id="24"/>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sz w:val="21"/>
          <w:szCs w:val="21"/>
        </w:rPr>
      </w:pPr>
      <w:r>
        <w:rPr>
          <w:rFonts w:hint="eastAsia"/>
          <w:sz w:val="21"/>
          <w:szCs w:val="21"/>
        </w:rPr>
        <w:t>各省、自治区、直辖市人民政府，国务院各部委、各直属机构：</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i w:val="0"/>
          <w:caps w:val="0"/>
          <w:color w:val="333333"/>
          <w:spacing w:val="0"/>
          <w:sz w:val="21"/>
          <w:szCs w:val="21"/>
        </w:rPr>
      </w:pPr>
      <w:r>
        <w:rPr>
          <w:rFonts w:hint="eastAsia"/>
          <w:sz w:val="21"/>
          <w:szCs w:val="21"/>
        </w:rPr>
        <w:t>为着力构建国家级经济技术开发区（以下简称国家级经开区）开放发展新体制，发展更高层次的开放型经济，加快形成国际竞争新优势，充分发挥产业优势和制度优势，带动地区经济发展，现提出以下意见。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一、总体要求</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（一）指导思想。</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以习近平新时代中国特色社会主义思想为指导，全面贯彻党的十九大和十九届二中、三中全会精神，按照党中央、国务院决策部署，坚持稳中求进工作总基调，坚持新发展理念，以供给侧结构性改革为主线，以高质量发展为核心目标，以激发对外经济活力为突破口，着力推进国家级经开区开放创新、科技创新、制度创新，提升对外合作水平、提升经济发展质量，打造改革开放新高地。</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（二）基本原则。</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w:t>
      </w:r>
      <w:r>
        <w:rPr>
          <w:rFonts w:hint="eastAsia" w:ascii="楷体" w:hAnsi="楷体" w:eastAsia="楷体" w:cs="楷体"/>
          <w:i w:val="0"/>
          <w:caps w:val="0"/>
          <w:color w:val="333333"/>
          <w:spacing w:val="0"/>
          <w:sz w:val="21"/>
          <w:szCs w:val="21"/>
          <w:shd w:val="clear" w:fill="FFFFFF"/>
        </w:rPr>
        <w:t>坚持开放引领、改革创新。</w:t>
      </w:r>
      <w:r>
        <w:rPr>
          <w:rFonts w:hint="eastAsia" w:ascii="宋体" w:hAnsi="宋体" w:eastAsia="宋体" w:cs="宋体"/>
          <w:i w:val="0"/>
          <w:caps w:val="0"/>
          <w:color w:val="333333"/>
          <w:spacing w:val="0"/>
          <w:sz w:val="21"/>
          <w:szCs w:val="21"/>
          <w:shd w:val="clear" w:fill="FFFFFF"/>
        </w:rPr>
        <w:t>充分发挥国家级经开区的对外开放平台作用，坚定不移深化改革，持续优化投资环境，激发对外经济活力，打造体制机制新优势。</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w:t>
      </w:r>
      <w:r>
        <w:rPr>
          <w:rFonts w:hint="eastAsia" w:ascii="楷体" w:hAnsi="楷体" w:eastAsia="楷体" w:cs="楷体"/>
          <w:i w:val="0"/>
          <w:caps w:val="0"/>
          <w:color w:val="333333"/>
          <w:spacing w:val="0"/>
          <w:sz w:val="21"/>
          <w:szCs w:val="21"/>
          <w:shd w:val="clear" w:fill="FFFFFF"/>
        </w:rPr>
        <w:t>坚持质量第一、效益优先。</w:t>
      </w:r>
      <w:r>
        <w:rPr>
          <w:rFonts w:hint="eastAsia" w:ascii="宋体" w:hAnsi="宋体" w:eastAsia="宋体" w:cs="宋体"/>
          <w:i w:val="0"/>
          <w:caps w:val="0"/>
          <w:color w:val="333333"/>
          <w:spacing w:val="0"/>
          <w:sz w:val="21"/>
          <w:szCs w:val="21"/>
          <w:shd w:val="clear" w:fill="FFFFFF"/>
        </w:rPr>
        <w:t>集聚知识、技术、信息、数据等生产要素，推动质量变革、效率变革、动力变革，提高全要素生产率，促进产业升级，拓展发展新空间。</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w:t>
      </w:r>
      <w:r>
        <w:rPr>
          <w:rFonts w:hint="eastAsia" w:ascii="楷体" w:hAnsi="楷体" w:eastAsia="楷体" w:cs="楷体"/>
          <w:i w:val="0"/>
          <w:caps w:val="0"/>
          <w:color w:val="333333"/>
          <w:spacing w:val="0"/>
          <w:sz w:val="21"/>
          <w:szCs w:val="21"/>
          <w:shd w:val="clear" w:fill="FFFFFF"/>
        </w:rPr>
        <w:t>坚持市场主导、政府引导。</w:t>
      </w:r>
      <w:r>
        <w:rPr>
          <w:rFonts w:hint="eastAsia" w:ascii="宋体" w:hAnsi="宋体" w:eastAsia="宋体" w:cs="宋体"/>
          <w:i w:val="0"/>
          <w:caps w:val="0"/>
          <w:color w:val="333333"/>
          <w:spacing w:val="0"/>
          <w:sz w:val="21"/>
          <w:szCs w:val="21"/>
          <w:shd w:val="clear" w:fill="FFFFFF"/>
        </w:rPr>
        <w:t>充分发挥市场在资源配置中的决定性作用，更好发挥政府作用，弘扬企业家精神，激发市场活力和创造力，培育经济发展新动能。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二、提升开放型经济质量</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（三）拓展利用外资方式。</w:t>
      </w:r>
      <w:r>
        <w:rPr>
          <w:rFonts w:hint="eastAsia" w:ascii="宋体" w:hAnsi="宋体" w:eastAsia="宋体" w:cs="宋体"/>
          <w:i w:val="0"/>
          <w:caps w:val="0"/>
          <w:color w:val="333333"/>
          <w:spacing w:val="0"/>
          <w:sz w:val="21"/>
          <w:szCs w:val="21"/>
          <w:shd w:val="clear" w:fill="FFFFFF"/>
        </w:rPr>
        <w:t>支持国家级经开区提高引资质量，重点引进跨国公司地区总部、研发、财务、采购、销售、物流、结算等功能性机构。地方人民政府可依法、合规在外商投资项目前期准备等方面给予支持。支持区内企业开展上市、业务重组等。</w:t>
      </w:r>
      <w:r>
        <w:rPr>
          <w:rFonts w:hint="eastAsia" w:ascii="楷体" w:hAnsi="楷体" w:eastAsia="楷体" w:cs="楷体"/>
          <w:i w:val="0"/>
          <w:caps w:val="0"/>
          <w:color w:val="333333"/>
          <w:spacing w:val="0"/>
          <w:sz w:val="21"/>
          <w:szCs w:val="21"/>
          <w:shd w:val="clear" w:fill="FFFFFF"/>
        </w:rPr>
        <w:t>（商务部、证监会等单位与地方各级人民政府按职责分工负责）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（四）优化外商投资导向。</w:t>
      </w:r>
      <w:r>
        <w:rPr>
          <w:rFonts w:hint="eastAsia" w:ascii="宋体" w:hAnsi="宋体" w:eastAsia="宋体" w:cs="宋体"/>
          <w:i w:val="0"/>
          <w:caps w:val="0"/>
          <w:color w:val="333333"/>
          <w:spacing w:val="0"/>
          <w:sz w:val="21"/>
          <w:szCs w:val="21"/>
          <w:shd w:val="clear" w:fill="FFFFFF"/>
        </w:rPr>
        <w:t>对在中西部和东北地区国家级经开区内从事鼓励类项目且在完善产业链等方面发挥重要作用的外商投资企业，可按规定予以支持。</w:t>
      </w:r>
      <w:r>
        <w:rPr>
          <w:rFonts w:hint="eastAsia" w:ascii="楷体" w:hAnsi="楷体" w:eastAsia="楷体" w:cs="楷体"/>
          <w:i w:val="0"/>
          <w:caps w:val="0"/>
          <w:color w:val="333333"/>
          <w:spacing w:val="0"/>
          <w:sz w:val="21"/>
          <w:szCs w:val="21"/>
          <w:shd w:val="clear" w:fill="FFFFFF"/>
        </w:rPr>
        <w:t>（各有关省级人民政府按职责分工负责）</w:t>
      </w:r>
      <w:r>
        <w:rPr>
          <w:rFonts w:hint="eastAsia" w:ascii="宋体" w:hAnsi="宋体" w:eastAsia="宋体" w:cs="宋体"/>
          <w:i w:val="0"/>
          <w:caps w:val="0"/>
          <w:color w:val="333333"/>
          <w:spacing w:val="0"/>
          <w:sz w:val="21"/>
          <w:szCs w:val="21"/>
          <w:shd w:val="clear" w:fill="FFFFFF"/>
        </w:rPr>
        <w:t>实行差异化的区域政策，相关中央预算内投资和中央财政专项转移支付继续向中西部欠发达地区和东北地区老工业基地倾斜。</w:t>
      </w:r>
      <w:r>
        <w:rPr>
          <w:rFonts w:hint="eastAsia" w:ascii="楷体" w:hAnsi="楷体" w:eastAsia="楷体" w:cs="楷体"/>
          <w:i w:val="0"/>
          <w:caps w:val="0"/>
          <w:color w:val="333333"/>
          <w:spacing w:val="0"/>
          <w:sz w:val="21"/>
          <w:szCs w:val="21"/>
          <w:shd w:val="clear" w:fill="FFFFFF"/>
        </w:rPr>
        <w:t>（发展改革委、财政部等单位按职责分工负责）</w:t>
      </w:r>
      <w:r>
        <w:rPr>
          <w:rFonts w:hint="eastAsia" w:ascii="宋体" w:hAnsi="宋体" w:eastAsia="宋体" w:cs="宋体"/>
          <w:i w:val="0"/>
          <w:caps w:val="0"/>
          <w:color w:val="333333"/>
          <w:spacing w:val="0"/>
          <w:sz w:val="21"/>
          <w:szCs w:val="21"/>
          <w:shd w:val="clear" w:fill="FFFFFF"/>
        </w:rPr>
        <w:t>地方人民政府可统筹上级转移支付资金和自有资金，对符合条件的中西部欠发达地区和东北地区老工业基地区域内国家级经开区基础设施建设、物流交通、承接产业转移、优化投资环境等项目，提供相应支持。</w:t>
      </w:r>
      <w:r>
        <w:rPr>
          <w:rFonts w:hint="eastAsia" w:ascii="楷体" w:hAnsi="楷体" w:eastAsia="楷体" w:cs="楷体"/>
          <w:i w:val="0"/>
          <w:caps w:val="0"/>
          <w:color w:val="333333"/>
          <w:spacing w:val="0"/>
          <w:sz w:val="21"/>
          <w:szCs w:val="21"/>
          <w:shd w:val="clear" w:fill="FFFFFF"/>
        </w:rPr>
        <w:t>（发展改革委、财政部、商务部等单位与地方各级人民政府按职责分工负责）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（五）提升对外贸易质量。</w:t>
      </w:r>
      <w:r>
        <w:rPr>
          <w:rFonts w:hint="eastAsia" w:ascii="宋体" w:hAnsi="宋体" w:eastAsia="宋体" w:cs="宋体"/>
          <w:i w:val="0"/>
          <w:caps w:val="0"/>
          <w:color w:val="333333"/>
          <w:spacing w:val="0"/>
          <w:sz w:val="21"/>
          <w:szCs w:val="21"/>
          <w:shd w:val="clear" w:fill="FFFFFF"/>
        </w:rPr>
        <w:t>支持符合条件的国家级经开区申请设立综合保税区。</w:t>
      </w:r>
      <w:r>
        <w:rPr>
          <w:rFonts w:hint="eastAsia" w:ascii="楷体" w:hAnsi="楷体" w:eastAsia="楷体" w:cs="楷体"/>
          <w:i w:val="0"/>
          <w:caps w:val="0"/>
          <w:color w:val="333333"/>
          <w:spacing w:val="0"/>
          <w:sz w:val="21"/>
          <w:szCs w:val="21"/>
          <w:shd w:val="clear" w:fill="FFFFFF"/>
        </w:rPr>
        <w:t>（商务部、海关总署等单位按职责分工负责）</w:t>
      </w:r>
      <w:r>
        <w:rPr>
          <w:rFonts w:hint="eastAsia" w:ascii="宋体" w:hAnsi="宋体" w:eastAsia="宋体" w:cs="宋体"/>
          <w:i w:val="0"/>
          <w:caps w:val="0"/>
          <w:color w:val="333333"/>
          <w:spacing w:val="0"/>
          <w:sz w:val="21"/>
          <w:szCs w:val="21"/>
          <w:shd w:val="clear" w:fill="FFFFFF"/>
        </w:rPr>
        <w:t>充分运用外经贸发展专项资金等，支持符合条件的国家级经开区建设外贸转型升级基地和外贸公共服务平台。</w:t>
      </w:r>
      <w:r>
        <w:rPr>
          <w:rFonts w:hint="eastAsia" w:ascii="楷体" w:hAnsi="楷体" w:eastAsia="楷体" w:cs="楷体"/>
          <w:i w:val="0"/>
          <w:caps w:val="0"/>
          <w:color w:val="333333"/>
          <w:spacing w:val="0"/>
          <w:sz w:val="21"/>
          <w:szCs w:val="21"/>
          <w:shd w:val="clear" w:fill="FFFFFF"/>
        </w:rPr>
        <w:t>（财政部、商务部等单位与地方各级人民政府按职责分工负责）</w:t>
      </w:r>
      <w:r>
        <w:rPr>
          <w:rFonts w:hint="eastAsia" w:ascii="宋体" w:hAnsi="宋体" w:eastAsia="宋体" w:cs="宋体"/>
          <w:i w:val="0"/>
          <w:caps w:val="0"/>
          <w:color w:val="333333"/>
          <w:spacing w:val="0"/>
          <w:sz w:val="21"/>
          <w:szCs w:val="21"/>
          <w:shd w:val="clear" w:fill="FFFFFF"/>
        </w:rPr>
        <w:t>支持国家级经开区推进关税保证保险改革。</w:t>
      </w:r>
      <w:r>
        <w:rPr>
          <w:rFonts w:hint="eastAsia" w:ascii="楷体" w:hAnsi="楷体" w:eastAsia="楷体" w:cs="楷体"/>
          <w:i w:val="0"/>
          <w:caps w:val="0"/>
          <w:color w:val="333333"/>
          <w:spacing w:val="0"/>
          <w:sz w:val="21"/>
          <w:szCs w:val="21"/>
          <w:shd w:val="clear" w:fill="FFFFFF"/>
        </w:rPr>
        <w:t>（海关总署、税务总局、银保监会等单位按职责分工负责）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三、赋予更大改革自主权</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（六）深化“放管服”改革。</w:t>
      </w:r>
      <w:r>
        <w:rPr>
          <w:rFonts w:hint="eastAsia" w:ascii="宋体" w:hAnsi="宋体" w:eastAsia="宋体" w:cs="宋体"/>
          <w:i w:val="0"/>
          <w:caps w:val="0"/>
          <w:color w:val="333333"/>
          <w:spacing w:val="0"/>
          <w:sz w:val="21"/>
          <w:szCs w:val="21"/>
          <w:shd w:val="clear" w:fill="FFFFFF"/>
        </w:rPr>
        <w:t>支持国家级经开区优化营商环境，推动其在“放管服”改革方面走在前列，依法精简投资项目准入手续，简化审批程序，下放省市级经济管理审批权限，实施先建后验管理新模式。深化投资项目审批全流程改革，推行容缺审批、告知承诺制等管理方式。全面开展工程建设项目审批制度改革，统一审批流程，统一信息数据平台，统一审批管理体系，统一监管方式。</w:t>
      </w:r>
      <w:r>
        <w:rPr>
          <w:rFonts w:hint="eastAsia" w:ascii="楷体" w:hAnsi="楷体" w:eastAsia="楷体" w:cs="楷体"/>
          <w:i w:val="0"/>
          <w:caps w:val="0"/>
          <w:color w:val="333333"/>
          <w:spacing w:val="0"/>
          <w:sz w:val="21"/>
          <w:szCs w:val="21"/>
          <w:shd w:val="clear" w:fill="FFFFFF"/>
        </w:rPr>
        <w:t>（发展改革委、住房城乡建设部、市场监管总局等单位与地方各级人民政府按职责分工负责）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（七）优化机构职能。</w:t>
      </w:r>
      <w:r>
        <w:rPr>
          <w:rFonts w:hint="eastAsia" w:ascii="宋体" w:hAnsi="宋体" w:eastAsia="宋体" w:cs="宋体"/>
          <w:i w:val="0"/>
          <w:caps w:val="0"/>
          <w:color w:val="333333"/>
          <w:spacing w:val="0"/>
          <w:sz w:val="21"/>
          <w:szCs w:val="21"/>
          <w:shd w:val="clear" w:fill="FFFFFF"/>
        </w:rPr>
        <w:t>允许国家级经开区按照机构编制管理相关规定，调整内设机构、职能、人员等，推进机构设置和职能配置优化协同高效。优化国家级经开区管理机构设置，结合地方机构改革逐步加强对区域内经济开发区的整合规范。地方人民政府可根据国家级经开区发展需要，按规定统筹使用各类编制资源。</w:t>
      </w:r>
      <w:r>
        <w:rPr>
          <w:rFonts w:hint="eastAsia" w:ascii="楷体" w:hAnsi="楷体" w:eastAsia="楷体" w:cs="楷体"/>
          <w:i w:val="0"/>
          <w:caps w:val="0"/>
          <w:color w:val="333333"/>
          <w:spacing w:val="0"/>
          <w:sz w:val="21"/>
          <w:szCs w:val="21"/>
          <w:shd w:val="clear" w:fill="FFFFFF"/>
        </w:rPr>
        <w:t>（中央编办、财政部等单位与地方各级人民政府按职责分工负责）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（八）优化开发建设主体和运营主体管理机制。</w:t>
      </w:r>
      <w:r>
        <w:rPr>
          <w:rFonts w:hint="eastAsia" w:ascii="宋体" w:hAnsi="宋体" w:eastAsia="宋体" w:cs="宋体"/>
          <w:i w:val="0"/>
          <w:caps w:val="0"/>
          <w:color w:val="333333"/>
          <w:spacing w:val="0"/>
          <w:sz w:val="21"/>
          <w:szCs w:val="21"/>
          <w:shd w:val="clear" w:fill="FFFFFF"/>
        </w:rPr>
        <w:t>支持地方人民政府对有条件的国家级经开区开发建设主体进行资产重组、股权结构调整优化，引入民营资本和外国投资者，开发运营特色产业园等园区，并在准入、投融资、服务便利化等方面给予支持。</w:t>
      </w:r>
      <w:r>
        <w:rPr>
          <w:rFonts w:hint="eastAsia" w:ascii="楷体" w:hAnsi="楷体" w:eastAsia="楷体" w:cs="楷体"/>
          <w:i w:val="0"/>
          <w:caps w:val="0"/>
          <w:color w:val="333333"/>
          <w:spacing w:val="0"/>
          <w:sz w:val="21"/>
          <w:szCs w:val="21"/>
          <w:shd w:val="clear" w:fill="FFFFFF"/>
        </w:rPr>
        <w:t>（商务部等单位与地方各级人民政府按职责分工负责）</w:t>
      </w:r>
      <w:r>
        <w:rPr>
          <w:rFonts w:hint="eastAsia" w:ascii="宋体" w:hAnsi="宋体" w:eastAsia="宋体" w:cs="宋体"/>
          <w:i w:val="0"/>
          <w:caps w:val="0"/>
          <w:color w:val="333333"/>
          <w:spacing w:val="0"/>
          <w:sz w:val="21"/>
          <w:szCs w:val="21"/>
          <w:shd w:val="clear" w:fill="FFFFFF"/>
        </w:rPr>
        <w:t>积极支持符合条件的国家级经开区开发建设主体申请首次公开发行股票并上市。</w:t>
      </w:r>
      <w:r>
        <w:rPr>
          <w:rFonts w:hint="eastAsia" w:ascii="楷体" w:hAnsi="楷体" w:eastAsia="楷体" w:cs="楷体"/>
          <w:i w:val="0"/>
          <w:caps w:val="0"/>
          <w:color w:val="333333"/>
          <w:spacing w:val="0"/>
          <w:sz w:val="21"/>
          <w:szCs w:val="21"/>
          <w:shd w:val="clear" w:fill="FFFFFF"/>
        </w:rPr>
        <w:t>（证监会等单位负责）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（九）健全完善绩效激励机制。</w:t>
      </w:r>
      <w:r>
        <w:rPr>
          <w:rFonts w:hint="eastAsia" w:ascii="宋体" w:hAnsi="宋体" w:eastAsia="宋体" w:cs="宋体"/>
          <w:i w:val="0"/>
          <w:caps w:val="0"/>
          <w:color w:val="333333"/>
          <w:spacing w:val="0"/>
          <w:sz w:val="21"/>
          <w:szCs w:val="21"/>
          <w:shd w:val="clear" w:fill="FFFFFF"/>
        </w:rPr>
        <w:t>支持国家级经开区创新选人用人机制，经批准可实行聘任制、绩效考核制等，允许实行兼职兼薪、年薪制、协议工资制等多种分配方式。支持国家级经开区按市场化原则开展招商、企业入驻服务等，允许国家级经开区制定业绩考核办法时将招商成果、服务成效等纳入考核激励。</w:t>
      </w:r>
      <w:r>
        <w:rPr>
          <w:rFonts w:hint="eastAsia" w:ascii="楷体" w:hAnsi="楷体" w:eastAsia="楷体" w:cs="楷体"/>
          <w:i w:val="0"/>
          <w:caps w:val="0"/>
          <w:color w:val="333333"/>
          <w:spacing w:val="0"/>
          <w:sz w:val="21"/>
          <w:szCs w:val="21"/>
          <w:shd w:val="clear" w:fill="FFFFFF"/>
        </w:rPr>
        <w:t>（财政部、人力资源社会保障部等单位与地方各级人民政府按职责分工负责）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（十）支持开展自贸试验区相关改革试点。</w:t>
      </w:r>
      <w:r>
        <w:rPr>
          <w:rFonts w:hint="eastAsia" w:ascii="宋体" w:hAnsi="宋体" w:eastAsia="宋体" w:cs="宋体"/>
          <w:i w:val="0"/>
          <w:caps w:val="0"/>
          <w:color w:val="333333"/>
          <w:spacing w:val="0"/>
          <w:sz w:val="21"/>
          <w:szCs w:val="21"/>
          <w:shd w:val="clear" w:fill="FFFFFF"/>
        </w:rPr>
        <w:t>支持国家级经开区按程序开展符合其发展方向的自贸试验区相关改革试点。在政府职能转变、投资贸易便利化等重点领域加大改革力度，充分发挥国家级经开区辐射带动作用。</w:t>
      </w:r>
      <w:r>
        <w:rPr>
          <w:rFonts w:hint="eastAsia" w:ascii="楷体" w:hAnsi="楷体" w:eastAsia="楷体" w:cs="楷体"/>
          <w:i w:val="0"/>
          <w:caps w:val="0"/>
          <w:color w:val="333333"/>
          <w:spacing w:val="0"/>
          <w:sz w:val="21"/>
          <w:szCs w:val="21"/>
          <w:shd w:val="clear" w:fill="FFFFFF"/>
        </w:rPr>
        <w:t>（商务部等单位与地方各级人民政府按职责分工负责）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四、打造现代产业体系</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（十一）加强产业布局统筹协调。</w:t>
      </w:r>
      <w:r>
        <w:rPr>
          <w:rFonts w:hint="eastAsia" w:ascii="宋体" w:hAnsi="宋体" w:eastAsia="宋体" w:cs="宋体"/>
          <w:i w:val="0"/>
          <w:caps w:val="0"/>
          <w:color w:val="333333"/>
          <w:spacing w:val="0"/>
          <w:sz w:val="21"/>
          <w:szCs w:val="21"/>
          <w:shd w:val="clear" w:fill="FFFFFF"/>
        </w:rPr>
        <w:t>加强上下游产业布局规划，推动国家级经开区形成共生互补的产业生态体系。国家重大产业项目优先规划布局在国家级经开区。充分发挥中央层面现有各类产业投资基金作用，支持发展重大产业项目。地方人民政府要对国家级经开区推进主导产业升级予以适当支持。</w:t>
      </w:r>
      <w:r>
        <w:rPr>
          <w:rFonts w:hint="eastAsia" w:ascii="楷体" w:hAnsi="楷体" w:eastAsia="楷体" w:cs="楷体"/>
          <w:i w:val="0"/>
          <w:caps w:val="0"/>
          <w:color w:val="333333"/>
          <w:spacing w:val="0"/>
          <w:sz w:val="21"/>
          <w:szCs w:val="21"/>
          <w:shd w:val="clear" w:fill="FFFFFF"/>
        </w:rPr>
        <w:t>（发展改革委、工业和信息化部、财政部等单位与地方各级人民政府按职责分工负责）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（十二）实施先进制造业集群培育行动。</w:t>
      </w:r>
      <w:r>
        <w:rPr>
          <w:rFonts w:hint="eastAsia" w:ascii="宋体" w:hAnsi="宋体" w:eastAsia="宋体" w:cs="宋体"/>
          <w:i w:val="0"/>
          <w:caps w:val="0"/>
          <w:color w:val="333333"/>
          <w:spacing w:val="0"/>
          <w:sz w:val="21"/>
          <w:szCs w:val="21"/>
          <w:shd w:val="clear" w:fill="FFFFFF"/>
        </w:rPr>
        <w:t>支持国家级经开区创建国家新型工业化产业示范基地，坚持市场化运作、内外资企业一视同仁，培育先进制造业集群。加快引进先进制造业企业、专业化“小巨人”企业、关键零部件和中间品制造企业，支持企业建设新兴产业发展联盟和产业技术创新战略联盟。</w:t>
      </w:r>
      <w:r>
        <w:rPr>
          <w:rFonts w:hint="eastAsia" w:ascii="楷体" w:hAnsi="楷体" w:eastAsia="楷体" w:cs="楷体"/>
          <w:i w:val="0"/>
          <w:caps w:val="0"/>
          <w:color w:val="333333"/>
          <w:spacing w:val="0"/>
          <w:sz w:val="21"/>
          <w:szCs w:val="21"/>
          <w:shd w:val="clear" w:fill="FFFFFF"/>
        </w:rPr>
        <w:t>（发展改革委、工业和信息化部等单位与地方各级人民政府按职责分工负责）</w:t>
      </w:r>
      <w:r>
        <w:rPr>
          <w:rFonts w:hint="eastAsia" w:ascii="宋体" w:hAnsi="宋体" w:eastAsia="宋体" w:cs="宋体"/>
          <w:i w:val="0"/>
          <w:caps w:val="0"/>
          <w:color w:val="333333"/>
          <w:spacing w:val="0"/>
          <w:sz w:val="21"/>
          <w:szCs w:val="21"/>
          <w:shd w:val="clear" w:fill="FFFFFF"/>
        </w:rPr>
        <w:t>加强与相关投资基金合作，充分发挥产业基金、银行信贷、证券市场、保险资金以及国家融资担保基金等作用，拓展国家级经开区发展产业集群的投融资渠道。</w:t>
      </w:r>
      <w:r>
        <w:rPr>
          <w:rFonts w:hint="eastAsia" w:ascii="楷体" w:hAnsi="楷体" w:eastAsia="楷体" w:cs="楷体"/>
          <w:i w:val="0"/>
          <w:caps w:val="0"/>
          <w:color w:val="333333"/>
          <w:spacing w:val="0"/>
          <w:sz w:val="21"/>
          <w:szCs w:val="21"/>
          <w:shd w:val="clear" w:fill="FFFFFF"/>
        </w:rPr>
        <w:t>（发展改革委、工业和信息化部、财政部、人民银行、银保监会、证监会等单位按职责分工负责）</w:t>
      </w:r>
      <w:r>
        <w:rPr>
          <w:rFonts w:hint="eastAsia" w:ascii="宋体" w:hAnsi="宋体" w:eastAsia="宋体" w:cs="宋体"/>
          <w:i w:val="0"/>
          <w:caps w:val="0"/>
          <w:color w:val="333333"/>
          <w:spacing w:val="0"/>
          <w:sz w:val="21"/>
          <w:szCs w:val="21"/>
          <w:shd w:val="clear" w:fill="FFFFFF"/>
        </w:rPr>
        <w:t>鼓励国家级经开区内企业承担智能制造试点示范项目，鼓励企业研发、采购先进设备、引进人才、国际化发展等。</w:t>
      </w:r>
      <w:r>
        <w:rPr>
          <w:rFonts w:hint="eastAsia" w:ascii="楷体" w:hAnsi="楷体" w:eastAsia="楷体" w:cs="楷体"/>
          <w:i w:val="0"/>
          <w:caps w:val="0"/>
          <w:color w:val="333333"/>
          <w:spacing w:val="0"/>
          <w:sz w:val="21"/>
          <w:szCs w:val="21"/>
          <w:shd w:val="clear" w:fill="FFFFFF"/>
        </w:rPr>
        <w:t>（地方各级人民政府按职责分工负责）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（十三）实施现代服务业优化升级行动。</w:t>
      </w:r>
      <w:r>
        <w:rPr>
          <w:rFonts w:hint="eastAsia" w:ascii="宋体" w:hAnsi="宋体" w:eastAsia="宋体" w:cs="宋体"/>
          <w:i w:val="0"/>
          <w:caps w:val="0"/>
          <w:color w:val="333333"/>
          <w:spacing w:val="0"/>
          <w:sz w:val="21"/>
          <w:szCs w:val="21"/>
          <w:shd w:val="clear" w:fill="FFFFFF"/>
        </w:rPr>
        <w:t>地方人民政府可结合地方服务业发展实际，利用现有政策和资金渠道，支持在符合条件的国家级经开区内发展医疗健康、社区服务等生活性服务业，以及工业设计、物流、会展等生产性服务业。</w:t>
      </w:r>
      <w:r>
        <w:rPr>
          <w:rFonts w:hint="eastAsia" w:ascii="楷体" w:hAnsi="楷体" w:eastAsia="楷体" w:cs="楷体"/>
          <w:i w:val="0"/>
          <w:caps w:val="0"/>
          <w:color w:val="333333"/>
          <w:spacing w:val="0"/>
          <w:sz w:val="21"/>
          <w:szCs w:val="21"/>
          <w:shd w:val="clear" w:fill="FFFFFF"/>
        </w:rPr>
        <w:t>（发展改革委、民政部、财政部、商务部、卫生健康委等单位与各省级人民政府按职责分工负责）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（十四）加快推进园区绿色升级。</w:t>
      </w:r>
      <w:r>
        <w:rPr>
          <w:rFonts w:hint="eastAsia" w:ascii="宋体" w:hAnsi="宋体" w:eastAsia="宋体" w:cs="宋体"/>
          <w:i w:val="0"/>
          <w:caps w:val="0"/>
          <w:color w:val="333333"/>
          <w:spacing w:val="0"/>
          <w:sz w:val="21"/>
          <w:szCs w:val="21"/>
          <w:shd w:val="clear" w:fill="FFFFFF"/>
        </w:rPr>
        <w:t>充分发挥政府投资基金作用，支持国家级经开区加大循环化改造力度，实施环境优化改造项目。</w:t>
      </w:r>
      <w:r>
        <w:rPr>
          <w:rFonts w:hint="eastAsia" w:ascii="楷体" w:hAnsi="楷体" w:eastAsia="楷体" w:cs="楷体"/>
          <w:i w:val="0"/>
          <w:caps w:val="0"/>
          <w:color w:val="333333"/>
          <w:spacing w:val="0"/>
          <w:sz w:val="21"/>
          <w:szCs w:val="21"/>
          <w:shd w:val="clear" w:fill="FFFFFF"/>
        </w:rPr>
        <w:t>（发展改革委、财政部、商务部等单位与各省级人民政府按职责分工负责）</w:t>
      </w:r>
      <w:r>
        <w:rPr>
          <w:rFonts w:hint="eastAsia" w:ascii="宋体" w:hAnsi="宋体" w:eastAsia="宋体" w:cs="宋体"/>
          <w:i w:val="0"/>
          <w:caps w:val="0"/>
          <w:color w:val="333333"/>
          <w:spacing w:val="0"/>
          <w:sz w:val="21"/>
          <w:szCs w:val="21"/>
          <w:shd w:val="clear" w:fill="FFFFFF"/>
        </w:rPr>
        <w:t>支持国家级经开区创建国家生态工业示范园区，省级人民政府相应予以政策支持。在符合园区规划环评结论和审查要求的基础上，对国家生态工业示范园区内的重大项目依法简化项目环评内容，提高审批效率。依法推进国家级经开区规划环境影响评价工作。</w:t>
      </w:r>
      <w:r>
        <w:rPr>
          <w:rFonts w:hint="eastAsia" w:ascii="楷体" w:hAnsi="楷体" w:eastAsia="楷体" w:cs="楷体"/>
          <w:i w:val="0"/>
          <w:caps w:val="0"/>
          <w:color w:val="333333"/>
          <w:spacing w:val="0"/>
          <w:sz w:val="21"/>
          <w:szCs w:val="21"/>
          <w:shd w:val="clear" w:fill="FFFFFF"/>
        </w:rPr>
        <w:t>（生态环境部、商务部等单位与各省级人民政府按职责分工负责）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（十五）推动发展数字经济。</w:t>
      </w:r>
      <w:r>
        <w:rPr>
          <w:rFonts w:hint="eastAsia" w:ascii="宋体" w:hAnsi="宋体" w:eastAsia="宋体" w:cs="宋体"/>
          <w:i w:val="0"/>
          <w:caps w:val="0"/>
          <w:color w:val="333333"/>
          <w:spacing w:val="0"/>
          <w:sz w:val="21"/>
          <w:szCs w:val="21"/>
          <w:shd w:val="clear" w:fill="FFFFFF"/>
        </w:rPr>
        <w:t>鼓励各类资本在具备条件的国家级经开区投资建设信息技术基础设施，省级人民政府可将此类投资纳入当地数字经济发展规划并予以支持。支持国家级经开区内企业创建数字产业创新中心、智能工厂、智能车间等。</w:t>
      </w:r>
      <w:r>
        <w:rPr>
          <w:rFonts w:hint="eastAsia" w:ascii="楷体" w:hAnsi="楷体" w:eastAsia="楷体" w:cs="楷体"/>
          <w:i w:val="0"/>
          <w:caps w:val="0"/>
          <w:color w:val="333333"/>
          <w:spacing w:val="0"/>
          <w:sz w:val="21"/>
          <w:szCs w:val="21"/>
          <w:shd w:val="clear" w:fill="FFFFFF"/>
        </w:rPr>
        <w:t>（中央网信办、发展改革委、工业和信息化部等单位与地方各级人民政府按职责分工负责）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（十六）提升产业创新能力。</w:t>
      </w:r>
      <w:r>
        <w:rPr>
          <w:rFonts w:hint="eastAsia" w:ascii="宋体" w:hAnsi="宋体" w:eastAsia="宋体" w:cs="宋体"/>
          <w:i w:val="0"/>
          <w:caps w:val="0"/>
          <w:color w:val="333333"/>
          <w:spacing w:val="0"/>
          <w:sz w:val="21"/>
          <w:szCs w:val="21"/>
          <w:shd w:val="clear" w:fill="FFFFFF"/>
        </w:rPr>
        <w:t>鼓励国家级经开区复制推广自贸试验区、自主创新示范区等试点经验，率先将国家科技创新政策落实到位，成效明显的可加大政策先行先试力度，打造成为科技创新集聚区。在服务业开放、科技成果转化、科技金融发展等方面加强制度创新。对新兴产业实行包容审慎监管。</w:t>
      </w:r>
      <w:r>
        <w:rPr>
          <w:rFonts w:hint="eastAsia" w:ascii="楷体" w:hAnsi="楷体" w:eastAsia="楷体" w:cs="楷体"/>
          <w:i w:val="0"/>
          <w:caps w:val="0"/>
          <w:color w:val="333333"/>
          <w:spacing w:val="0"/>
          <w:sz w:val="21"/>
          <w:szCs w:val="21"/>
          <w:shd w:val="clear" w:fill="FFFFFF"/>
        </w:rPr>
        <w:t>（科技部、商务部、人民银行、市场监管总局、知识产权局等单位与地方各级人民政府按职责分工负责）</w:t>
      </w:r>
      <w:r>
        <w:rPr>
          <w:rFonts w:hint="eastAsia" w:ascii="宋体" w:hAnsi="宋体" w:eastAsia="宋体" w:cs="宋体"/>
          <w:i w:val="0"/>
          <w:caps w:val="0"/>
          <w:color w:val="333333"/>
          <w:spacing w:val="0"/>
          <w:sz w:val="21"/>
          <w:szCs w:val="21"/>
          <w:shd w:val="clear" w:fill="FFFFFF"/>
        </w:rPr>
        <w:t>支持国家级经开区建设国家大科学装置和国家科技创新基地。支持符合条件的国家级经开区打造特色创新创业载体，推动中小企业创新创业升级。</w:t>
      </w:r>
      <w:r>
        <w:rPr>
          <w:rFonts w:hint="eastAsia" w:ascii="楷体" w:hAnsi="楷体" w:eastAsia="楷体" w:cs="楷体"/>
          <w:i w:val="0"/>
          <w:caps w:val="0"/>
          <w:color w:val="333333"/>
          <w:spacing w:val="0"/>
          <w:sz w:val="21"/>
          <w:szCs w:val="21"/>
          <w:shd w:val="clear" w:fill="FFFFFF"/>
        </w:rPr>
        <w:t>（发展改革委、科技部、工业和信息化部、财政部、商务部等单位与地方各级人民政府按职责分工负责）</w:t>
      </w:r>
      <w:r>
        <w:rPr>
          <w:rFonts w:hint="eastAsia" w:ascii="宋体" w:hAnsi="宋体" w:eastAsia="宋体" w:cs="宋体"/>
          <w:i w:val="0"/>
          <w:caps w:val="0"/>
          <w:color w:val="333333"/>
          <w:spacing w:val="0"/>
          <w:sz w:val="21"/>
          <w:szCs w:val="21"/>
          <w:shd w:val="clear" w:fill="FFFFFF"/>
        </w:rPr>
        <w:t>国家级经开区内科研院所转化职务发明成果收益给予参与研发的科技人员的现金奖励，符合税收政策相关规定的，可减按50%计入科技人员工资、薪金所得缴纳个人所得税。</w:t>
      </w:r>
      <w:r>
        <w:rPr>
          <w:rFonts w:hint="eastAsia" w:ascii="楷体" w:hAnsi="楷体" w:eastAsia="楷体" w:cs="楷体"/>
          <w:i w:val="0"/>
          <w:caps w:val="0"/>
          <w:color w:val="333333"/>
          <w:spacing w:val="0"/>
          <w:sz w:val="21"/>
          <w:szCs w:val="21"/>
          <w:shd w:val="clear" w:fill="FFFFFF"/>
        </w:rPr>
        <w:t>（财政部、税务总局等单位与地方各级人民政府按职责分工负责）</w:t>
      </w:r>
      <w:r>
        <w:rPr>
          <w:rFonts w:hint="eastAsia" w:ascii="宋体" w:hAnsi="宋体" w:eastAsia="宋体" w:cs="宋体"/>
          <w:i w:val="0"/>
          <w:caps w:val="0"/>
          <w:color w:val="333333"/>
          <w:spacing w:val="0"/>
          <w:sz w:val="21"/>
          <w:szCs w:val="21"/>
          <w:shd w:val="clear" w:fill="FFFFFF"/>
        </w:rPr>
        <w:t>鼓励国家级经开区对区内企业开展专利导航、知识产权运营、知识产权维权援助等给予支持。</w:t>
      </w:r>
      <w:r>
        <w:rPr>
          <w:rFonts w:hint="eastAsia" w:ascii="楷体" w:hAnsi="楷体" w:eastAsia="楷体" w:cs="楷体"/>
          <w:i w:val="0"/>
          <w:caps w:val="0"/>
          <w:color w:val="333333"/>
          <w:spacing w:val="0"/>
          <w:sz w:val="21"/>
          <w:szCs w:val="21"/>
          <w:shd w:val="clear" w:fill="FFFFFF"/>
        </w:rPr>
        <w:t>（市场监管总局、知识产权局等单位与地方各级人民政府按职责分工负责）</w:t>
      </w:r>
      <w:r>
        <w:rPr>
          <w:rFonts w:hint="eastAsia" w:ascii="宋体" w:hAnsi="宋体" w:eastAsia="宋体" w:cs="宋体"/>
          <w:i w:val="0"/>
          <w:caps w:val="0"/>
          <w:color w:val="333333"/>
          <w:spacing w:val="0"/>
          <w:sz w:val="21"/>
          <w:szCs w:val="21"/>
          <w:shd w:val="clear" w:fill="FFFFFF"/>
        </w:rPr>
        <w:t>支持在有条件的国家级经开区开展资本项目收入结汇支付便利化、不动产投资信托基金等试点。</w:t>
      </w:r>
      <w:r>
        <w:rPr>
          <w:rFonts w:hint="eastAsia" w:ascii="楷体" w:hAnsi="楷体" w:eastAsia="楷体" w:cs="楷体"/>
          <w:i w:val="0"/>
          <w:caps w:val="0"/>
          <w:color w:val="333333"/>
          <w:spacing w:val="0"/>
          <w:sz w:val="21"/>
          <w:szCs w:val="21"/>
          <w:shd w:val="clear" w:fill="FFFFFF"/>
        </w:rPr>
        <w:t>（人民银行、证监会、外汇局等单位与地方各级人民政府按职责分工负责）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五、完善对内对外合作平台功能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（十七）积极参与国际合作。</w:t>
      </w:r>
      <w:r>
        <w:rPr>
          <w:rFonts w:hint="eastAsia" w:ascii="宋体" w:hAnsi="宋体" w:eastAsia="宋体" w:cs="宋体"/>
          <w:i w:val="0"/>
          <w:caps w:val="0"/>
          <w:color w:val="333333"/>
          <w:spacing w:val="0"/>
          <w:sz w:val="21"/>
          <w:szCs w:val="21"/>
          <w:shd w:val="clear" w:fill="FFFFFF"/>
        </w:rPr>
        <w:t>支持国家级经开区积极探索与境外经贸合作区开展合作。支持中西部地区有关国家级经开区参与中国—新加坡（重庆）战略性互联互通示范项目“国际陆海贸易新通道”建设。</w:t>
      </w:r>
      <w:r>
        <w:rPr>
          <w:rFonts w:hint="eastAsia" w:ascii="楷体" w:hAnsi="楷体" w:eastAsia="楷体" w:cs="楷体"/>
          <w:i w:val="0"/>
          <w:caps w:val="0"/>
          <w:color w:val="333333"/>
          <w:spacing w:val="0"/>
          <w:sz w:val="21"/>
          <w:szCs w:val="21"/>
          <w:shd w:val="clear" w:fill="FFFFFF"/>
        </w:rPr>
        <w:t>（外交部、发展改革委、交通运输部、商务部、海关总署等单位与地方各级人民政府按职责分工负责）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（十八）打造国际合作新载体。</w:t>
      </w:r>
      <w:r>
        <w:rPr>
          <w:rFonts w:hint="eastAsia" w:ascii="宋体" w:hAnsi="宋体" w:eastAsia="宋体" w:cs="宋体"/>
          <w:i w:val="0"/>
          <w:caps w:val="0"/>
          <w:color w:val="333333"/>
          <w:spacing w:val="0"/>
          <w:sz w:val="21"/>
          <w:szCs w:val="21"/>
          <w:shd w:val="clear" w:fill="FFFFFF"/>
        </w:rPr>
        <w:t>在科技人才集聚、产业体系较为完备的国家级经开区建设一批国际合作园区，鼓励港澳地区及外国机构、企业、资本参与国际合作园区运营。支持金融机构按照风险可控、商业可持续原则，做好国际合作园区的金融服务。鼓励地方人民政府用足用好现有政策，依法、合规支持国家级经开区建设国际合作园区。</w:t>
      </w:r>
      <w:r>
        <w:rPr>
          <w:rFonts w:hint="eastAsia" w:ascii="楷体" w:hAnsi="楷体" w:eastAsia="楷体" w:cs="楷体"/>
          <w:i w:val="0"/>
          <w:caps w:val="0"/>
          <w:color w:val="333333"/>
          <w:spacing w:val="0"/>
          <w:sz w:val="21"/>
          <w:szCs w:val="21"/>
          <w:shd w:val="clear" w:fill="FFFFFF"/>
        </w:rPr>
        <w:t>（财政部、商务部、人民银行、港澳办、银保监会、证监会、进出口银行、开发银行等单位与地方各级人民政府按职责分工负责）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（十九）拓展对内开放新空间。</w:t>
      </w:r>
      <w:r>
        <w:rPr>
          <w:rFonts w:hint="eastAsia" w:ascii="宋体" w:hAnsi="宋体" w:eastAsia="宋体" w:cs="宋体"/>
          <w:i w:val="0"/>
          <w:caps w:val="0"/>
          <w:color w:val="333333"/>
          <w:spacing w:val="0"/>
          <w:sz w:val="21"/>
          <w:szCs w:val="21"/>
          <w:shd w:val="clear" w:fill="FFFFFF"/>
        </w:rPr>
        <w:t>鼓励地方人民政府依法完善财政、产业政策，支持国家级经开区根据所在区域产业布局，增强产业转移承载能力，开展项目对接。充分发挥外经贸发展专项资金作用，支持国家级经开区与边境经济合作区、跨境经济合作区开展合作，共同建设项目孵化、人才培养、市场拓展等服务平台和产业园区，为边境经济合作区、跨境经济合作区承接产业转移项目创造条件。省级人民政府要加大对共建园区基础设施建设的支持力度。</w:t>
      </w:r>
      <w:r>
        <w:rPr>
          <w:rFonts w:hint="eastAsia" w:ascii="楷体" w:hAnsi="楷体" w:eastAsia="楷体" w:cs="楷体"/>
          <w:i w:val="0"/>
          <w:caps w:val="0"/>
          <w:color w:val="333333"/>
          <w:spacing w:val="0"/>
          <w:sz w:val="21"/>
          <w:szCs w:val="21"/>
          <w:shd w:val="clear" w:fill="FFFFFF"/>
        </w:rPr>
        <w:t>（发展改革委、财政部、自然资源部、商务部、人民银行、银保监会等单位与地方各级人民政府按职责分工负责）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（二十）促进与所在城市互动发展。</w:t>
      </w:r>
      <w:r>
        <w:rPr>
          <w:rFonts w:hint="eastAsia" w:ascii="宋体" w:hAnsi="宋体" w:eastAsia="宋体" w:cs="宋体"/>
          <w:i w:val="0"/>
          <w:caps w:val="0"/>
          <w:color w:val="333333"/>
          <w:spacing w:val="0"/>
          <w:sz w:val="21"/>
          <w:szCs w:val="21"/>
          <w:shd w:val="clear" w:fill="FFFFFF"/>
        </w:rPr>
        <w:t>在保障信息安全的前提下，支持国家级经开区与所在地人民政府相关机构共享公共资源交易、人口、交通、空间地理等信息。国家级经开区可在国土空间基础信息平台的基础上建设城市空间基础信息平台。</w:t>
      </w:r>
      <w:r>
        <w:rPr>
          <w:rFonts w:hint="eastAsia" w:ascii="楷体" w:hAnsi="楷体" w:eastAsia="楷体" w:cs="楷体"/>
          <w:i w:val="0"/>
          <w:caps w:val="0"/>
          <w:color w:val="333333"/>
          <w:spacing w:val="0"/>
          <w:sz w:val="21"/>
          <w:szCs w:val="21"/>
          <w:shd w:val="clear" w:fill="FFFFFF"/>
        </w:rPr>
        <w:t>（公安部、自然资源部、住房城乡建设部、交通运输部等单位与地方各级人民政府按职责分工负责）</w:t>
      </w:r>
      <w:r>
        <w:rPr>
          <w:rFonts w:hint="eastAsia" w:ascii="宋体" w:hAnsi="宋体" w:eastAsia="宋体" w:cs="宋体"/>
          <w:i w:val="0"/>
          <w:caps w:val="0"/>
          <w:color w:val="333333"/>
          <w:spacing w:val="0"/>
          <w:sz w:val="21"/>
          <w:szCs w:val="21"/>
          <w:shd w:val="clear" w:fill="FFFFFF"/>
        </w:rPr>
        <w:t>推动国家级经开区完善高水平商贸旅游、医疗养老、文化教育等功能配套，规划建设城市综合体、中央商务区、专家公寓等。对公共服务重点项目，地方人民政府和国家级经开区可提供运营支持。支持有条件的国家级经开区建设国际化社区和外籍人员子女学校。</w:t>
      </w:r>
      <w:r>
        <w:rPr>
          <w:rFonts w:hint="eastAsia" w:ascii="楷体" w:hAnsi="楷体" w:eastAsia="楷体" w:cs="楷体"/>
          <w:i w:val="0"/>
          <w:caps w:val="0"/>
          <w:color w:val="333333"/>
          <w:spacing w:val="0"/>
          <w:sz w:val="21"/>
          <w:szCs w:val="21"/>
          <w:shd w:val="clear" w:fill="FFFFFF"/>
        </w:rPr>
        <w:t>（教育部、民政部、商务部、卫生健康委等单位与地方各级人民政府按职责分工负责）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六、加强要素保障和资源集约利用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（二十一）强化集约用地导向。</w:t>
      </w:r>
      <w:r>
        <w:rPr>
          <w:rFonts w:hint="eastAsia" w:ascii="宋体" w:hAnsi="宋体" w:eastAsia="宋体" w:cs="宋体"/>
          <w:i w:val="0"/>
          <w:caps w:val="0"/>
          <w:color w:val="333333"/>
          <w:spacing w:val="0"/>
          <w:sz w:val="21"/>
          <w:szCs w:val="21"/>
          <w:shd w:val="clear" w:fill="FFFFFF"/>
        </w:rPr>
        <w:t>支持国家级经开区开展旧城镇、旧厂房、旧村庄等改造，并按规定完善历史用地手续。积极落实产业用地政策，支持国家级经开区内企业利用现有存量土地发展医疗、教育、科研等项目。原划拨土地改造开发后用途符合《划拨用地目录》的，仍可继续按划拨方式使用。对符合协议出让条件的，可依法采取协议方式办理用地手续。鼓励地方人民政府通过创新产业用地分类、鼓励土地混合使用、提高产业用地土地利用效率、实行用地弹性出让、长期租赁、先租后让、租让结合供地等，满足国家级经开区的产业项目用地需求。加强国家级经开区存量用地二次开发，促进低效闲置土地的处置利用。鼓励新入区企业和土地使用权权属企业合作，允许对具备土地独立分宗条件的工业物业产权进行分割，用以引进优质项目。省级人民政府对国家级经开区盘活利用存量土地的，可给予用地指标奖励。除地方人民政府已分层设立建设用地使用权的地下空间外，现有项目开发地下空间作为自用的，其地下空间新增建筑面积可以补缴土地价款的方式办理用地手续。</w:t>
      </w:r>
      <w:r>
        <w:rPr>
          <w:rFonts w:hint="eastAsia" w:ascii="楷体" w:hAnsi="楷体" w:eastAsia="楷体" w:cs="楷体"/>
          <w:i w:val="0"/>
          <w:caps w:val="0"/>
          <w:color w:val="333333"/>
          <w:spacing w:val="0"/>
          <w:sz w:val="21"/>
          <w:szCs w:val="21"/>
          <w:shd w:val="clear" w:fill="FFFFFF"/>
        </w:rPr>
        <w:t>（自然资源部等单位与地方各级人民政府按职责分工负责）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（二十二）降低能源资源成本。</w:t>
      </w:r>
      <w:r>
        <w:rPr>
          <w:rFonts w:hint="eastAsia" w:ascii="宋体" w:hAnsi="宋体" w:eastAsia="宋体" w:cs="宋体"/>
          <w:i w:val="0"/>
          <w:caps w:val="0"/>
          <w:color w:val="333333"/>
          <w:spacing w:val="0"/>
          <w:sz w:val="21"/>
          <w:szCs w:val="21"/>
          <w:shd w:val="clear" w:fill="FFFFFF"/>
        </w:rPr>
        <w:t>支持省级人民政府在国家级经开区开展电力市场化交易，支持国家级经开区内企业集体与发电企业直接交易，支持区内电力用户优先参与电力市场化交易。支持国家级经开区按规定开展非居民用天然气价格市场化改革，加强天然气输配价格监管，减少或取消直接供气区域内国家级经开区省级管网输配服务加价。</w:t>
      </w:r>
      <w:r>
        <w:rPr>
          <w:rFonts w:hint="eastAsia" w:ascii="楷体" w:hAnsi="楷体" w:eastAsia="楷体" w:cs="楷体"/>
          <w:i w:val="0"/>
          <w:caps w:val="0"/>
          <w:color w:val="333333"/>
          <w:spacing w:val="0"/>
          <w:sz w:val="21"/>
          <w:szCs w:val="21"/>
          <w:shd w:val="clear" w:fill="FFFFFF"/>
        </w:rPr>
        <w:t>（发展改革委、能源局等单位与地方各级人民政府按职责分工负责）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（二十三）完善人才政策保障。</w:t>
      </w:r>
      <w:r>
        <w:rPr>
          <w:rFonts w:hint="eastAsia" w:ascii="宋体" w:hAnsi="宋体" w:eastAsia="宋体" w:cs="宋体"/>
          <w:i w:val="0"/>
          <w:caps w:val="0"/>
          <w:color w:val="333333"/>
          <w:spacing w:val="0"/>
          <w:sz w:val="21"/>
          <w:szCs w:val="21"/>
          <w:shd w:val="clear" w:fill="FFFFFF"/>
        </w:rPr>
        <w:t>支持国家级经开区引进急需的各类人才，提供户籍办理、出入境、子女入学、医疗保险、创业投资等方面“一站式”服务。允许具有硕士及以上学位的优秀外国留学生毕业后直接在国家级经开区工作。对国家级经开区内企业急需的外国专业人才，按照规定适当放宽申请工作许可的年龄限制。对国家级经开区引进外籍高端人才，提供入境、居留和永久居留便利。</w:t>
      </w:r>
      <w:r>
        <w:rPr>
          <w:rFonts w:hint="eastAsia" w:ascii="楷体" w:hAnsi="楷体" w:eastAsia="楷体" w:cs="楷体"/>
          <w:i w:val="0"/>
          <w:caps w:val="0"/>
          <w:color w:val="333333"/>
          <w:spacing w:val="0"/>
          <w:sz w:val="21"/>
          <w:szCs w:val="21"/>
          <w:shd w:val="clear" w:fill="FFFFFF"/>
        </w:rPr>
        <w:t>（教育部、科技部、公安部、财政部、人力资源社会保障部、住房城乡建设部、移民局等单位与地方各级人民政府按职责分工负责）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（二十四）促进就业创业。</w:t>
      </w:r>
      <w:r>
        <w:rPr>
          <w:rFonts w:hint="eastAsia" w:ascii="宋体" w:hAnsi="宋体" w:eastAsia="宋体" w:cs="宋体"/>
          <w:i w:val="0"/>
          <w:caps w:val="0"/>
          <w:color w:val="333333"/>
          <w:spacing w:val="0"/>
          <w:sz w:val="21"/>
          <w:szCs w:val="21"/>
          <w:shd w:val="clear" w:fill="FFFFFF"/>
        </w:rPr>
        <w:t>对符合条件且未享受实物保障的在国家级经开区内就业或创业的人员，可提供一定的购房、租房补贴，按规定落实创业担保贷款政策。</w:t>
      </w:r>
      <w:r>
        <w:rPr>
          <w:rFonts w:hint="eastAsia" w:ascii="楷体" w:hAnsi="楷体" w:eastAsia="楷体" w:cs="楷体"/>
          <w:i w:val="0"/>
          <w:caps w:val="0"/>
          <w:color w:val="333333"/>
          <w:spacing w:val="0"/>
          <w:sz w:val="21"/>
          <w:szCs w:val="21"/>
          <w:shd w:val="clear" w:fill="FFFFFF"/>
        </w:rPr>
        <w:t>（财政部、人力资源社会保障部、住房城乡建设部、人民银行等单位与地方各级人民政府按职责分工负责）</w:t>
      </w:r>
      <w:r>
        <w:rPr>
          <w:rFonts w:hint="eastAsia" w:ascii="宋体" w:hAnsi="宋体" w:eastAsia="宋体" w:cs="宋体"/>
          <w:i w:val="0"/>
          <w:caps w:val="0"/>
          <w:color w:val="333333"/>
          <w:spacing w:val="0"/>
          <w:sz w:val="21"/>
          <w:szCs w:val="21"/>
          <w:shd w:val="clear" w:fill="FFFFFF"/>
        </w:rPr>
        <w:t>鼓励地方人民政府提高国家级经开区内企业培养重点行业紧缺高技能人才补助标准，对国家级经开区与职业院校（含技工院校）共建人才培养基地、创业孵化基地等按规定给予支持。</w:t>
      </w:r>
      <w:r>
        <w:rPr>
          <w:rFonts w:hint="eastAsia" w:ascii="楷体" w:hAnsi="楷体" w:eastAsia="楷体" w:cs="楷体"/>
          <w:i w:val="0"/>
          <w:caps w:val="0"/>
          <w:color w:val="333333"/>
          <w:spacing w:val="0"/>
          <w:sz w:val="21"/>
          <w:szCs w:val="21"/>
          <w:shd w:val="clear" w:fill="FFFFFF"/>
        </w:rPr>
        <w:t>（教育部、财政部、人力资源社会保障部等单位与地方各级人民政府按职责分工负责）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各地区、各部门要深刻认识推进国家级经开区创新提升、打造改革开放新高地的重大意义，采取有效措施，加快推进国家级经开区高水平开放、高质量发展。商务部要会同有关部门加强督促检查，确保各项措施落到实处。涉及调整行政法规、国务院文件和经国务院批准的部门规章的，按规定程序办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国务院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2019年5月18日</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21"/>
          <w:szCs w:val="21"/>
          <w:shd w:val="clear" w:fill="FFFFFF"/>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宋体" w:hAnsi="宋体" w:eastAsia="宋体" w:cs="宋体"/>
          <w:i w:val="0"/>
          <w:caps w:val="0"/>
          <w:color w:val="333333"/>
          <w:spacing w:val="0"/>
          <w:sz w:val="30"/>
          <w:szCs w:val="30"/>
        </w:rPr>
      </w:pPr>
      <w:bookmarkStart w:id="25" w:name="_Toc24825"/>
      <w:r>
        <w:rPr>
          <w:rFonts w:hint="eastAsia" w:ascii="宋体" w:hAnsi="宋体" w:eastAsia="宋体" w:cs="宋体"/>
          <w:b/>
          <w:i w:val="0"/>
          <w:caps w:val="0"/>
          <w:color w:val="333333"/>
          <w:spacing w:val="0"/>
          <w:sz w:val="30"/>
          <w:szCs w:val="30"/>
          <w:shd w:val="clear" w:fill="FFFFFF"/>
        </w:rPr>
        <w:t>国务院办公厅关于印发职业技能提升行动</w:t>
      </w:r>
      <w:bookmarkEnd w:id="25"/>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宋体" w:hAnsi="宋体" w:eastAsia="宋体" w:cs="宋体"/>
          <w:i w:val="0"/>
          <w:caps w:val="0"/>
          <w:color w:val="333333"/>
          <w:spacing w:val="0"/>
          <w:sz w:val="30"/>
          <w:szCs w:val="30"/>
        </w:rPr>
      </w:pPr>
      <w:bookmarkStart w:id="26" w:name="_Toc28156"/>
      <w:bookmarkStart w:id="27" w:name="_Toc16488"/>
      <w:bookmarkStart w:id="28" w:name="_Toc381"/>
      <w:bookmarkStart w:id="29" w:name="_Toc7538"/>
      <w:bookmarkStart w:id="30" w:name="_Toc6832"/>
      <w:bookmarkStart w:id="31" w:name="_Toc23232"/>
      <w:bookmarkStart w:id="32" w:name="_Toc19974"/>
      <w:r>
        <w:rPr>
          <w:rFonts w:hint="eastAsia" w:ascii="宋体" w:hAnsi="宋体" w:eastAsia="宋体" w:cs="宋体"/>
          <w:b/>
          <w:i w:val="0"/>
          <w:caps w:val="0"/>
          <w:color w:val="333333"/>
          <w:spacing w:val="0"/>
          <w:sz w:val="30"/>
          <w:szCs w:val="30"/>
          <w:shd w:val="clear" w:fill="FFFFFF"/>
        </w:rPr>
        <w:t>方案（2019—2021年）的通知</w:t>
      </w:r>
      <w:bookmarkEnd w:id="26"/>
      <w:bookmarkEnd w:id="27"/>
      <w:bookmarkEnd w:id="28"/>
      <w:bookmarkEnd w:id="29"/>
      <w:bookmarkEnd w:id="30"/>
      <w:bookmarkEnd w:id="31"/>
      <w:bookmarkEnd w:id="32"/>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宋体" w:hAnsi="宋体" w:eastAsia="宋体" w:cs="宋体"/>
          <w:i w:val="0"/>
          <w:caps w:val="0"/>
          <w:color w:val="333333"/>
          <w:spacing w:val="0"/>
          <w:sz w:val="24"/>
          <w:szCs w:val="24"/>
        </w:rPr>
      </w:pPr>
      <w:bookmarkStart w:id="33" w:name="_Toc8660"/>
      <w:r>
        <w:rPr>
          <w:rFonts w:ascii="楷体" w:hAnsi="楷体" w:eastAsia="楷体" w:cs="楷体"/>
          <w:i w:val="0"/>
          <w:caps w:val="0"/>
          <w:color w:val="333333"/>
          <w:spacing w:val="0"/>
          <w:sz w:val="24"/>
          <w:szCs w:val="24"/>
          <w:shd w:val="clear" w:fill="FFFFFF"/>
        </w:rPr>
        <w:t>国办发〔2019〕24号</w:t>
      </w:r>
      <w:bookmarkEnd w:id="33"/>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各省、自治区、直辖市人民政府，国务院各部委、各直属机构：</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《职业技能提升行动方案（2019—2021年）》已经国务院同意，现印发给你们，请认真贯彻执行。</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国务院办公厅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2019年5月18日</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（此件公开发布）</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shd w:val="clear" w:fill="FFFFFF"/>
        </w:rPr>
        <w:t>职业技能提升行动方案（2019—2021年）</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为贯彻落实党中央、国务院决策部署，实施职业技能提升行动，制定以下方案。</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b w:val="0"/>
          <w:bCs/>
          <w:i w:val="0"/>
          <w:caps w:val="0"/>
          <w:color w:val="333333"/>
          <w:spacing w:val="0"/>
          <w:sz w:val="21"/>
          <w:szCs w:val="21"/>
        </w:rPr>
      </w:pPr>
      <w:r>
        <w:rPr>
          <w:rFonts w:hint="eastAsia" w:ascii="黑体" w:hAnsi="黑体" w:eastAsia="黑体" w:cs="黑体"/>
          <w:b w:val="0"/>
          <w:bCs/>
          <w:i w:val="0"/>
          <w:caps w:val="0"/>
          <w:color w:val="333333"/>
          <w:spacing w:val="0"/>
          <w:sz w:val="21"/>
          <w:szCs w:val="21"/>
          <w:shd w:val="clear" w:fill="FFFFFF"/>
        </w:rPr>
        <w:t>一、总体要求和目标任务</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（一）总体要求。</w:t>
      </w:r>
      <w:r>
        <w:rPr>
          <w:rFonts w:hint="eastAsia" w:ascii="宋体" w:hAnsi="宋体" w:eastAsia="宋体" w:cs="宋体"/>
          <w:i w:val="0"/>
          <w:caps w:val="0"/>
          <w:color w:val="333333"/>
          <w:spacing w:val="0"/>
          <w:sz w:val="21"/>
          <w:szCs w:val="21"/>
          <w:shd w:val="clear" w:fill="FFFFFF"/>
        </w:rPr>
        <w:t>以习近平新时代中国特色社会主义思想为指导，全面贯彻党的十九大和十九届二中、三中全会精神，把职业技能培训作为保持就业稳定、缓解结构性就业矛盾的关键举措，作为经济转型升级和高质量发展的重要支撑。坚持需求导向，服务经济社会发展，适应人民群众就业创业需要，大力推行终身职业技能培训制度，面向职工、就业重点群体、建档立卡贫困劳动力（以下简称贫困劳动力）等城乡各类劳动者，大规模开展职业技能培训，加快建设知识型、技能型、创新型劳动者大军。</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（二）目标任务。</w:t>
      </w:r>
      <w:r>
        <w:rPr>
          <w:rFonts w:hint="eastAsia" w:ascii="宋体" w:hAnsi="宋体" w:eastAsia="宋体" w:cs="宋体"/>
          <w:i w:val="0"/>
          <w:caps w:val="0"/>
          <w:color w:val="333333"/>
          <w:spacing w:val="0"/>
          <w:sz w:val="21"/>
          <w:szCs w:val="21"/>
          <w:shd w:val="clear" w:fill="FFFFFF"/>
        </w:rPr>
        <w:t>2019年至2021年，持续开展职业技能提升行动，提高培训针对性实效性，全面提升劳动者职业技能水平和就业创业能力。三年共开展各类补贴性职业技能培训5000万人次以上，其中2019年培训1500万人次以上；经过努力，到2021年底技能劳动者占就业人员总量的比例达到25%以上，高技能人才占技能劳动者的比例达到30%以上。</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b w:val="0"/>
          <w:bCs/>
          <w:i w:val="0"/>
          <w:caps w:val="0"/>
          <w:color w:val="333333"/>
          <w:spacing w:val="0"/>
          <w:sz w:val="21"/>
          <w:szCs w:val="21"/>
          <w:shd w:val="clear" w:fill="FFFFFF"/>
        </w:rPr>
      </w:pPr>
      <w:r>
        <w:rPr>
          <w:rFonts w:hint="eastAsia" w:ascii="黑体" w:hAnsi="黑体" w:eastAsia="黑体" w:cs="黑体"/>
          <w:b w:val="0"/>
          <w:bCs/>
          <w:i w:val="0"/>
          <w:caps w:val="0"/>
          <w:color w:val="333333"/>
          <w:spacing w:val="0"/>
          <w:sz w:val="21"/>
          <w:szCs w:val="21"/>
          <w:shd w:val="clear" w:fill="FFFFFF"/>
        </w:rPr>
        <w:t>二、对职工等重点群体开展有针对性的职业技能培训</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（三）大力开展企业职工技能提升和转岗转业培训。</w:t>
      </w:r>
      <w:r>
        <w:rPr>
          <w:rFonts w:hint="eastAsia" w:ascii="宋体" w:hAnsi="宋体" w:eastAsia="宋体" w:cs="宋体"/>
          <w:i w:val="0"/>
          <w:caps w:val="0"/>
          <w:color w:val="333333"/>
          <w:spacing w:val="0"/>
          <w:sz w:val="21"/>
          <w:szCs w:val="21"/>
          <w:shd w:val="clear" w:fill="FFFFFF"/>
        </w:rPr>
        <w:t>企业需制定职工培训计划，开展适应岗位需求和发展需要的技能培训，广泛组织岗前培训、在岗培训、脱产培训，开展岗位练兵、技能竞赛、在线学习等活动，大力开展高技能人才培训，组织实施高技能领军人才和产业紧缺人才境外培训。发挥行业、龙头企业和培训机构作用，引导帮助中小微企业开展职工培训。实施高危行业领域安全技能提升行动计划，化工、矿山等高危行业企业要组织从业人员和各类特种作业人员普遍开展安全技能培训，严格执行从业人员安全技能培训合格后上岗制度。支持帮助困难企业开展转岗转业培训。在全国各类企业全面推行企业新型学徒制、现代学徒制培训，三年培训100万新型学徒。推进产教融合、校企合作，实现学校培养与企业用人的有效衔接。鼓励企业与参训职工协商一致灵活调整工作时间，保障职工参训期间应有的工资福利待遇。</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（四）对就业重点群体开展职业技能提升培训和创业培训。</w:t>
      </w:r>
      <w:r>
        <w:rPr>
          <w:rFonts w:hint="eastAsia" w:ascii="宋体" w:hAnsi="宋体" w:eastAsia="宋体" w:cs="宋体"/>
          <w:i w:val="0"/>
          <w:caps w:val="0"/>
          <w:color w:val="333333"/>
          <w:spacing w:val="0"/>
          <w:sz w:val="21"/>
          <w:szCs w:val="21"/>
          <w:shd w:val="clear" w:fill="FFFFFF"/>
        </w:rPr>
        <w:t>面向农村转移就业劳动者特别是新生代农民工、城乡未继续升学初高中毕业生（以下称“两后生”）等青年、下岗失业人员、退役军人、就业困难人员（含残疾人），持续实施农民工“春潮行动”、“求学圆梦行动”、新生代农民工职业技能提升计划和返乡创业培训计划以及劳动预备培训、就业技能培训、职业技能提升培训等专项培训，全面提升职业技能和就业创业能力。对有创业愿望的开展创业培训，加强创业培训项目开发、创业担保贷款、后续扶持等服务。围绕乡村振兴战略，实施新型职业农民培育工程和农村实用人才带头人素质提升计划，开展职业农民技能培训。</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（五）加大贫困劳动力和贫困家庭子女技能扶贫工作力度。</w:t>
      </w:r>
      <w:r>
        <w:rPr>
          <w:rFonts w:hint="eastAsia" w:ascii="宋体" w:hAnsi="宋体" w:eastAsia="宋体" w:cs="宋体"/>
          <w:i w:val="0"/>
          <w:caps w:val="0"/>
          <w:color w:val="333333"/>
          <w:spacing w:val="0"/>
          <w:sz w:val="21"/>
          <w:szCs w:val="21"/>
          <w:shd w:val="clear" w:fill="FFFFFF"/>
        </w:rPr>
        <w:t>聚焦贫困地区特别是“三区三州”等深度贫困地区，鼓励通过项目制购买服务等方式为贫困劳动力提供免费职业技能培训，并在培训期间按规定通过就业补助资金给予生活费（含交通费，下同）补贴，不断提高参训贫困人员占贫困劳动力比重。持续推进东西部扶贫协作框架下职业教育、职业技能培训帮扶和贫困村创业致富带头人培训。深入推进技能脱贫千校行动和深度贫困地区技能扶贫行动，对接受技工教育的贫困家庭学生，按规定落实中等职业教育国家助学金和免学费等政策；对子女接受技工教育的贫困家庭，按政策给予补助。</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b w:val="0"/>
          <w:bCs/>
          <w:i w:val="0"/>
          <w:caps w:val="0"/>
          <w:color w:val="333333"/>
          <w:spacing w:val="0"/>
          <w:sz w:val="21"/>
          <w:szCs w:val="21"/>
          <w:shd w:val="clear" w:fill="FFFFFF"/>
        </w:rPr>
      </w:pPr>
      <w:r>
        <w:rPr>
          <w:rFonts w:hint="eastAsia" w:ascii="黑体" w:hAnsi="黑体" w:eastAsia="黑体" w:cs="黑体"/>
          <w:b w:val="0"/>
          <w:bCs/>
          <w:i w:val="0"/>
          <w:caps w:val="0"/>
          <w:color w:val="333333"/>
          <w:spacing w:val="0"/>
          <w:sz w:val="21"/>
          <w:szCs w:val="21"/>
          <w:shd w:val="clear" w:fill="FFFFFF"/>
        </w:rPr>
        <w:t>三、激发培训主体积极性，有效增加培训供给</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（六）支持企业兴办职业技能培训。</w:t>
      </w:r>
      <w:r>
        <w:rPr>
          <w:rFonts w:hint="eastAsia" w:ascii="宋体" w:hAnsi="宋体" w:eastAsia="宋体" w:cs="宋体"/>
          <w:i w:val="0"/>
          <w:caps w:val="0"/>
          <w:color w:val="333333"/>
          <w:spacing w:val="0"/>
          <w:sz w:val="21"/>
          <w:szCs w:val="21"/>
          <w:shd w:val="clear" w:fill="FFFFFF"/>
        </w:rPr>
        <w:t>支持各类企业特别是规模以上企业或者吸纳就业人数较多的企业设立职工培训中心，鼓励企业与职业院校（含技工院校，下同）共建实训中心、教学工厂等，积极建设培育一批产教融合型企业。企业举办或参与举办职业院校的，各级政府可按规定根据毕业生就业人数或培训实训人数给予支持。支持企业设立高技能人才培训基地和技能大师工作室，企业可通过职工教育经费提供相应的资金支持，政府按规定通过就业补助资金给予补助。支持高危企业集中的地区建设安全生产和技能实训基地。</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（七）推动职业院校扩大培训规模。</w:t>
      </w:r>
      <w:r>
        <w:rPr>
          <w:rFonts w:hint="eastAsia" w:ascii="宋体" w:hAnsi="宋体" w:eastAsia="宋体" w:cs="宋体"/>
          <w:i w:val="0"/>
          <w:caps w:val="0"/>
          <w:color w:val="333333"/>
          <w:spacing w:val="0"/>
          <w:sz w:val="21"/>
          <w:szCs w:val="21"/>
          <w:shd w:val="clear" w:fill="FFFFFF"/>
        </w:rPr>
        <w:t>支持职业院校开展补贴性培训，扩大面向职工、就业重点群体和贫困劳动力的培训规模。在院校启动“学历证书+若干职业技能等级证书”制度试点工作，按《国务院关于印发国家职业教育改革实施方案的通知》（国发〔2019〕4号）规定执行。在核定职业院校绩效工资总量时，可向承担职业技能培训工作的单位倾斜。允许职业院校将一定比例的培训收入纳入学校公用经费，学校培训工作量可按一定比例折算成全日制学生培养工作量。职业院校在内部分配时，应向承担职业技能培训工作的一线教师倾斜，保障其合理待遇。</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（八）鼓励支持社会培训和评价机构开展职业技能培训和评价工作。</w:t>
      </w:r>
      <w:r>
        <w:rPr>
          <w:rFonts w:hint="eastAsia" w:ascii="宋体" w:hAnsi="宋体" w:eastAsia="宋体" w:cs="宋体"/>
          <w:i w:val="0"/>
          <w:caps w:val="0"/>
          <w:color w:val="333333"/>
          <w:spacing w:val="0"/>
          <w:sz w:val="21"/>
          <w:szCs w:val="21"/>
          <w:shd w:val="clear" w:fill="FFFFFF"/>
        </w:rPr>
        <w:t>不断培育发展壮大社会培训和评价机构，支持培训和评价机构建立同业交流平台，促进行业发展，加强行业自律。民办职业培训和评价机构在政府购买服务、校企合作、实训基地建设等方面与公办同类机构享受同等待遇。</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（九）创新培训内容。</w:t>
      </w:r>
      <w:r>
        <w:rPr>
          <w:rFonts w:hint="eastAsia" w:ascii="宋体" w:hAnsi="宋体" w:eastAsia="宋体" w:cs="宋体"/>
          <w:i w:val="0"/>
          <w:caps w:val="0"/>
          <w:color w:val="333333"/>
          <w:spacing w:val="0"/>
          <w:sz w:val="21"/>
          <w:szCs w:val="21"/>
          <w:shd w:val="clear" w:fill="FFFFFF"/>
        </w:rPr>
        <w:t>加强职业技能、通用职业素质和求职能力等综合性培训，将职业道德、职业规范、工匠精神、质量意识、法律意识和相关法律法规、安全环保和健康卫生、就业指导等内容贯穿职业技能培训全过程。坚持需求导向，围绕市场急需紧缺职业开展家政、养老服务、托幼、保安、电商、汽修、电工、妇女手工等就业技能培训；围绕促进创业开展经营管理、品牌建设、市场拓展、风险防控等创业指导培训；围绕经济社会发展开展先进制造业、战略性新兴产业、现代服务业以及循环农业、智慧农业、智能建筑、智慧城市建设等新产业培训；加大人工智能、云计算、大数据等新职业新技能培训力度。</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（十）加强职业技能培训基础能力建设。</w:t>
      </w:r>
      <w:r>
        <w:rPr>
          <w:rFonts w:hint="eastAsia" w:ascii="宋体" w:hAnsi="宋体" w:eastAsia="宋体" w:cs="宋体"/>
          <w:i w:val="0"/>
          <w:caps w:val="0"/>
          <w:color w:val="333333"/>
          <w:spacing w:val="0"/>
          <w:sz w:val="21"/>
          <w:szCs w:val="21"/>
          <w:shd w:val="clear" w:fill="FFFFFF"/>
        </w:rPr>
        <w:t>有条件的地区可对企业、院校、培训机构的实训设施设备升级改造予以支持。支持建设产教融合实训基地和公共实训基地，加强职业训练院建设，积极推进职业技能培训资源共建共享。大力推广“工学一体化”、“职业培训包”、“互联网+”等先进培训方式，鼓励建设互联网培训平台。加强师资建设，职业院校和培训机构实行专兼职教师制度，可按规定自主招聘企业技能人才任教。加快职业技能培训教材开发，规范管理，提高教材质量。完善培训统计工作，实施补贴性培训实名制信息管理，探索建立劳动者职业培训电子档案，实现培训评价信息与就业社保信息联通共享，提供培训就业一体化服务。</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b w:val="0"/>
          <w:bCs/>
          <w:i w:val="0"/>
          <w:caps w:val="0"/>
          <w:color w:val="333333"/>
          <w:spacing w:val="0"/>
          <w:sz w:val="21"/>
          <w:szCs w:val="21"/>
          <w:shd w:val="clear" w:fill="FFFFFF"/>
        </w:rPr>
      </w:pPr>
      <w:r>
        <w:rPr>
          <w:rFonts w:hint="eastAsia" w:ascii="黑体" w:hAnsi="黑体" w:eastAsia="黑体" w:cs="黑体"/>
          <w:b w:val="0"/>
          <w:bCs/>
          <w:i w:val="0"/>
          <w:caps w:val="0"/>
          <w:color w:val="333333"/>
          <w:spacing w:val="0"/>
          <w:sz w:val="21"/>
          <w:szCs w:val="21"/>
          <w:shd w:val="clear" w:fill="FFFFFF"/>
        </w:rPr>
        <w:t>四、完善职业培训补贴政策，加强政府引导激励</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（十一）落实职业培训补贴政策。</w:t>
      </w:r>
      <w:r>
        <w:rPr>
          <w:rFonts w:hint="eastAsia" w:ascii="宋体" w:hAnsi="宋体" w:eastAsia="宋体" w:cs="宋体"/>
          <w:i w:val="0"/>
          <w:caps w:val="0"/>
          <w:color w:val="333333"/>
          <w:spacing w:val="0"/>
          <w:sz w:val="21"/>
          <w:szCs w:val="21"/>
          <w:shd w:val="clear" w:fill="FFFFFF"/>
        </w:rPr>
        <w:t>对贫困家庭子女、贫困劳动力、“两后生”、农村转移就业劳动者、下岗失业人员和转岗职工、退役军人、残疾人开展免费职业技能培训行动，对高校毕业生和企业职工按规定给予职业培训补贴。对贫困劳动力、就业困难人员、零就业家庭成员、“两后生”中的农村学员和城市低保家庭学员，在培训期间按规定通过就业补助资金同时给予生活费补贴。符合条件的企业职工参加岗前培训、安全技能培训、转岗转业培训或初级工、中级工、高级工、技师、高级技师培训，按规定给予职业培训补贴或参保职工技能提升补贴。职工参加企业新型学徒制培训的，给予企业每人每年4000元以上的职业培训补贴，由企业自主用于学徒培训工作。企业、农民专业合作社和扶贫车间等各类生产经营主体吸纳贫困劳动力就业并开展以工代训，以及参保企业吸纳就业困难人员、零就业家庭成员就业并开展以工代训的，给予一定期限的职业培训补贴，最长不超过6个月。</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（十二）支持地方调整完善职业培训补贴政策。</w:t>
      </w:r>
      <w:r>
        <w:rPr>
          <w:rFonts w:hint="eastAsia" w:ascii="宋体" w:hAnsi="宋体" w:eastAsia="宋体" w:cs="宋体"/>
          <w:i w:val="0"/>
          <w:caps w:val="0"/>
          <w:color w:val="333333"/>
          <w:spacing w:val="0"/>
          <w:sz w:val="21"/>
          <w:szCs w:val="21"/>
          <w:shd w:val="clear" w:fill="FFFFFF"/>
        </w:rPr>
        <w:t>符合条件的劳动者在户籍地、常住地、求职就业地参加培训后取得证书（职业资格证书、职业技能等级证书、专项职业能力证书、特种作业操作证书、培训合格证书等）的，按规定给予职业培训补贴，原则上每人每年可享受不超过3次，但同一职业同一等级不可重复享受。省级人力资源社会保障部门、财政部门可在规定的原则下结合实际调整享受职业培训补贴、生活费补贴人员范围和条件要求，可将确有培训需求、不具有按月领取养老金资格的人员纳入政策范围。市（地）以上人力资源社会保障部门、财政部门可在规定的原则下结合实际确定职业培训补贴标准。县级以上政府可对有关部门各类培训资金和项目进行整合，解决资金渠道和使用管理分散问题。对企业开展培训或者培训机构开展项目制培训的，可先行拨付一定比例的培训补贴资金，具体比例由各省（区、市）根据实际情况确定。各地可对贫困劳动力、去产能失业人员、退役军人等群体开展项目制培训。</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（十三）加大资金支持力度。</w:t>
      </w:r>
      <w:r>
        <w:rPr>
          <w:rFonts w:hint="eastAsia" w:ascii="宋体" w:hAnsi="宋体" w:eastAsia="宋体" w:cs="宋体"/>
          <w:i w:val="0"/>
          <w:caps w:val="0"/>
          <w:color w:val="333333"/>
          <w:spacing w:val="0"/>
          <w:sz w:val="21"/>
          <w:szCs w:val="21"/>
          <w:shd w:val="clear" w:fill="FFFFFF"/>
        </w:rPr>
        <w:t>地方各级政府要加大资金支持和筹集整合力度，将一定比例的就业补助资金、地方人才经费和行业产业发展经费中用于职业技能培训的资金，以及从失业保险基金结余中拿出的1000亿元，统筹用于职业技能提升行动。各地拟用于职业技能提升行动的失业保险基金结余在社会保障基金财政专户中单独建立“职业技能提升行动专账”，用于职工等人员职业技能培训，实行分账核算、专款专用，具体筹集办法由财政部、人力资源社会保障部另行制定。企业要按有关规定足额提取和使用职工教育经费，其中60%以上用于一线职工培训，可用于企业“师带徒”津贴补助。落实将企业职工教育经费税前扣除限额提高至工资薪金总额8%的税收政策。推动企业提取职工教育经费开展自主培训与享受政策开展补贴性培训的有机衔接，探索完善相关机制。有条件的地区可安排经费，对职业技能培训教材开发、师资培训、教学改革以及职业技能竞赛等基础工作给予支持，对培训组织动员工作进行奖补。</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（十四）强化资金监督管理。</w:t>
      </w:r>
      <w:r>
        <w:rPr>
          <w:rFonts w:hint="eastAsia" w:ascii="宋体" w:hAnsi="宋体" w:eastAsia="宋体" w:cs="宋体"/>
          <w:i w:val="0"/>
          <w:caps w:val="0"/>
          <w:color w:val="333333"/>
          <w:spacing w:val="0"/>
          <w:sz w:val="21"/>
          <w:szCs w:val="21"/>
          <w:shd w:val="clear" w:fill="FFFFFF"/>
        </w:rPr>
        <w:t>要依法加强资金监管，定期向社会公开资金使用情况，加强监督检查和专项审计工作，加强廉政风险防控，保障资金安全和效益。对以虚假培训等套取、骗取资金的依法依纪严惩，对培训工作中出现的失误和问题要区分不同情况对待，保护工作落实层面干事担当的积极性。</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b w:val="0"/>
          <w:bCs/>
          <w:i w:val="0"/>
          <w:caps w:val="0"/>
          <w:color w:val="333333"/>
          <w:spacing w:val="0"/>
          <w:sz w:val="21"/>
          <w:szCs w:val="21"/>
          <w:shd w:val="clear" w:fill="FFFFFF"/>
        </w:rPr>
      </w:pPr>
      <w:r>
        <w:rPr>
          <w:rFonts w:hint="eastAsia" w:ascii="黑体" w:hAnsi="黑体" w:eastAsia="黑体" w:cs="黑体"/>
          <w:b w:val="0"/>
          <w:bCs/>
          <w:i w:val="0"/>
          <w:caps w:val="0"/>
          <w:color w:val="333333"/>
          <w:spacing w:val="0"/>
          <w:sz w:val="21"/>
          <w:szCs w:val="21"/>
          <w:shd w:val="clear" w:fill="FFFFFF"/>
        </w:rPr>
        <w:t>五、加强组织领导，强化保障措施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（十五）强化地方政府工作职责。</w:t>
      </w:r>
      <w:r>
        <w:rPr>
          <w:rFonts w:hint="eastAsia" w:ascii="宋体" w:hAnsi="宋体" w:eastAsia="宋体" w:cs="宋体"/>
          <w:i w:val="0"/>
          <w:caps w:val="0"/>
          <w:color w:val="333333"/>
          <w:spacing w:val="0"/>
          <w:sz w:val="21"/>
          <w:szCs w:val="21"/>
          <w:shd w:val="clear" w:fill="FFFFFF"/>
        </w:rPr>
        <w:t>地方各级政府要把职业技能提升行动作为重要民生工程，切实承担主体责任。省级政府要建立职业技能提升行动工作协调机制，形成省级统筹、部门参与、市县实施的工作格局。各省（区、市）要抓紧制定实施方案，出台政策措施，明确任务目标，进行任务分解，建立工作情况季报、年报制度。市县级政府要制定具体贯彻落实措施。鼓励各地将财政补助资金与培训工作绩效挂钩，加大激励力度，促进扩大培训规模，提升培训质量和层次，确保职业技能提升行动有效开展。</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（十六）健全工作机制。</w:t>
      </w:r>
      <w:r>
        <w:rPr>
          <w:rFonts w:hint="eastAsia" w:ascii="宋体" w:hAnsi="宋体" w:eastAsia="宋体" w:cs="宋体"/>
          <w:i w:val="0"/>
          <w:caps w:val="0"/>
          <w:color w:val="333333"/>
          <w:spacing w:val="0"/>
          <w:sz w:val="21"/>
          <w:szCs w:val="21"/>
          <w:shd w:val="clear" w:fill="FFFFFF"/>
        </w:rPr>
        <w:t>在国务院就业工作领导小组框架下，健全职业技能提升行动工作协调机制，充分发挥行业主管部门等各方作用，形成工作合力。人力资源社会保障部门承担政策制定、标准开发、资源整合、培训机构管理、质量监管等职责，制定年度工作计划，分解工作任务，抓好督促落实。发展改革部门要统筹推进职业技能培训基础能力建设。教育部门要组织职业院校承担职业技能培训任务。工业和信息化、住房城乡建设等部门要发挥行业主管部门作用，积极参与培训工作。财政部门要确保就业补助资金等及时足额拨付到位。农业农村部门负责职业农民培训。退役军人事务部门负责协调组织退役军人职业技能培训。应急管理、煤矿安监部门负责指导协调化工、矿山等高危行业领域安全技能培训和特种作业人员安全作业培训。国资监管部门要指导国企开展职业技能培训。其他有关部门和单位要共同做好职业技能培训工作。支持鼓励工会、共青团、妇联等群团组织以及行业协会参与职业技能培训工作。</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（十七）提高培训管理服务水平。</w:t>
      </w:r>
      <w:r>
        <w:rPr>
          <w:rFonts w:hint="eastAsia" w:ascii="宋体" w:hAnsi="宋体" w:eastAsia="宋体" w:cs="宋体"/>
          <w:i w:val="0"/>
          <w:caps w:val="0"/>
          <w:color w:val="333333"/>
          <w:spacing w:val="0"/>
          <w:sz w:val="21"/>
          <w:szCs w:val="21"/>
          <w:shd w:val="clear" w:fill="FFFFFF"/>
        </w:rPr>
        <w:t>深化职业技能培训工作“放管服”改革。对补贴性职业技能培训实施目录清单管理，公布培训项目目录、培训和评价机构目录，方便劳动者按需选择。地方可采取公开招投标等方式购买培训服务和评价服务。探索实行信用支付等办法，优化培训补贴支付方式。建立培训补贴网上经办服务平台，有条件的地区可对项目制培训探索培训服务和补贴申领告知承诺制，简化流程，减少证明材料，提高服务效率。加强对培训机构和培训质量的监管，健全培训绩效评估体系，积极支持开展第三方评估。</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（十八）推进职业技能培训与评价有机衔接。</w:t>
      </w:r>
      <w:r>
        <w:rPr>
          <w:rFonts w:hint="eastAsia" w:ascii="宋体" w:hAnsi="宋体" w:eastAsia="宋体" w:cs="宋体"/>
          <w:i w:val="0"/>
          <w:caps w:val="0"/>
          <w:color w:val="333333"/>
          <w:spacing w:val="0"/>
          <w:sz w:val="21"/>
          <w:szCs w:val="21"/>
          <w:shd w:val="clear" w:fill="FFFFFF"/>
        </w:rPr>
        <w:t>完善技能人才职业资格评价、职业技能等级认定、专项职业能力考核等多元化评价方式，动态调整职业资格目录，动态发布新职业信息，加快国家职业标准制定修订。建立职业技能等级认定制度，为劳动者提供便利的培训与评价服务。从事准入类职业的劳动者必须经培训合格后方可上岗。推动工程领域高技能人才与工程技术人才职业发展贯通。支持企业按规定自主开展职工职业技能等级评价工作，鼓励企业设立首席技师、特级技师等，提升技能人才职业发展空间。</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（十九）加强政策解读和舆论宣传。</w:t>
      </w:r>
      <w:r>
        <w:rPr>
          <w:rFonts w:hint="eastAsia" w:ascii="宋体" w:hAnsi="宋体" w:eastAsia="宋体" w:cs="宋体"/>
          <w:i w:val="0"/>
          <w:caps w:val="0"/>
          <w:color w:val="333333"/>
          <w:spacing w:val="0"/>
          <w:sz w:val="21"/>
          <w:szCs w:val="21"/>
          <w:shd w:val="clear" w:fill="FFFFFF"/>
        </w:rPr>
        <w:t>各地区、各有关部门要加大政策宣传力度，提升政策公众知晓度，帮助企业、培训机构和劳动者熟悉了解、用足用好政策，共同促进职业技能培训工作开展。大力弘扬和培育工匠精神，落实提高技术工人待遇的政策措施，加强技能人才激励表彰工作，积极开展各类职业技能竞赛活动，营造技能成才良好环境。</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outlineLvl w:val="9"/>
        <w:rPr>
          <w:rFonts w:hint="eastAsia" w:ascii="宋体" w:hAnsi="宋体" w:eastAsia="宋体" w:cs="宋体"/>
          <w:i w:val="0"/>
          <w:caps w:val="0"/>
          <w:color w:val="333333"/>
          <w:spacing w:val="0"/>
          <w:sz w:val="21"/>
          <w:szCs w:val="21"/>
          <w:shd w:val="clear"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outlineLvl w:val="9"/>
        <w:rPr>
          <w:rFonts w:hint="eastAsia" w:ascii="宋体" w:hAnsi="宋体" w:eastAsia="宋体" w:cs="宋体"/>
          <w:i w:val="0"/>
          <w:caps w:val="0"/>
          <w:color w:val="333333"/>
          <w:spacing w:val="0"/>
          <w:sz w:val="21"/>
          <w:szCs w:val="21"/>
          <w:shd w:val="clear"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outlineLvl w:val="9"/>
        <w:rPr>
          <w:rFonts w:hint="eastAsia" w:ascii="宋体" w:hAnsi="宋体" w:eastAsia="宋体" w:cs="宋体"/>
          <w:i w:val="0"/>
          <w:caps w:val="0"/>
          <w:color w:val="333333"/>
          <w:spacing w:val="0"/>
          <w:sz w:val="21"/>
          <w:szCs w:val="21"/>
          <w:shd w:val="clear" w:fill="FFFFFF"/>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宋体" w:hAnsi="宋体" w:eastAsia="宋体" w:cs="宋体"/>
          <w:i w:val="0"/>
          <w:caps w:val="0"/>
          <w:color w:val="333333"/>
          <w:spacing w:val="0"/>
          <w:sz w:val="30"/>
          <w:szCs w:val="30"/>
        </w:rPr>
      </w:pPr>
      <w:bookmarkStart w:id="34" w:name="_Toc253"/>
      <w:r>
        <w:rPr>
          <w:rFonts w:hint="eastAsia" w:ascii="宋体" w:hAnsi="宋体" w:eastAsia="宋体" w:cs="宋体"/>
          <w:b/>
          <w:i w:val="0"/>
          <w:caps w:val="0"/>
          <w:color w:val="333333"/>
          <w:spacing w:val="0"/>
          <w:sz w:val="30"/>
          <w:szCs w:val="30"/>
          <w:shd w:val="clear" w:fill="FFFFFF"/>
        </w:rPr>
        <w:t>国务院办公厅关于成立国务院就业工作领导小组的通知</w:t>
      </w:r>
      <w:bookmarkEnd w:id="34"/>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宋体" w:hAnsi="宋体" w:eastAsia="宋体" w:cs="宋体"/>
          <w:i w:val="0"/>
          <w:caps w:val="0"/>
          <w:color w:val="333333"/>
          <w:spacing w:val="0"/>
          <w:sz w:val="24"/>
          <w:szCs w:val="24"/>
        </w:rPr>
      </w:pPr>
      <w:bookmarkStart w:id="35" w:name="_Toc4472"/>
      <w:r>
        <w:rPr>
          <w:rFonts w:ascii="楷体" w:hAnsi="楷体" w:eastAsia="楷体" w:cs="楷体"/>
          <w:i w:val="0"/>
          <w:caps w:val="0"/>
          <w:color w:val="333333"/>
          <w:spacing w:val="0"/>
          <w:sz w:val="24"/>
          <w:szCs w:val="24"/>
          <w:shd w:val="clear" w:fill="FFFFFF"/>
        </w:rPr>
        <w:t>国办函〔2019〕38号</w:t>
      </w:r>
      <w:bookmarkEnd w:id="35"/>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各省、自治区、直辖市人民政府，国务院各部委、各直属机构：</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为进一步加强对就业工作的组织领导和统筹协调，凝聚就业工作合力，更好实施就业优先政策，国务院决定成立国务院就业工作领导小组（以下简称领导小组），作为国务院议事协调机构，国务院就业工作部际联席会议同时撤销。现将有关事项通知如下：</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一、主要职责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贯彻落实党中央、国务院关于就业工作的重大决策部署；统筹协调全国就业工作，研究解决就业工作重大问题；研究审议拟出台的就业工作法律法规、宏观规划和重大政策，部署实施就业工作改革创新重大事项；督促检查就业工作有关法律法规和政策措施的落实情况、各地区和各部门任务完成情况，交流推广经验；完成党中央、国务院交办的其他事项。</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二、组成人员</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组　长：胡春华　　国务院副总理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副组长：张纪南　　人力资源社会保障部部长</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　　　　丁向阳　　国务院副秘书长</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　　　　胡祖才　　发展改革委副主任</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　　　　翁铁慧　　教育部副部长</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　　　　余蔚平　　财政部副部长</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　　　　方永祥　　退役军人部副部长</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成　员：徐南平　　科技部副部长</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　　　　王江平　　工业和信息化部副部长</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　　　　孙力军　　公安部副部长</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　　　　詹成付　　民政部副部长</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　　　　游　钧　　人力资源社会保障部副部长</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　　　　易　军　　住房城乡建设部副部长</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　　　　韩　俊　　农业农村部副部长</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　　　　钱克明　　商务部副部长</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　　　　潘功胜　　人民银行副行长</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　　　　任洪斌　　国资委副主任</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　　　　孙瑞标　　税务总局副局长</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　　　　唐　军　　市场监管总局副局长</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　　　　李晓超　　统计局副局长</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　　　　欧青平　　扶贫办副主任</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　　　　魏地春　　全国总工会副主席</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　　　　傅振邦　　共青团中央书记处书记</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　　　　章冬梅　　全国妇联书记处书记</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　　　　程　凯　　中国残联副理事长</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　　　　谢经荣　　全国工商联副主席</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三、其他事项</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一）领导小组办公室设在人力资源社会保障部，承担领导小组日常工作。办公室主任由人力资源社会保障部副部长游钧兼任，办公室成员由领导小组成员单位有关司局负责同志担任。领导小组成员因工作变动需要调整的，由所在单位向领导小组办公室提出，按程序报领导小组组长批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（二）领导小组实行工作会议制度，工作会议由组长或其委托的副组长召集，根据工作需要定期或不定期召开，必要时邀请其他有关部门人员参加。</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国务院办公厅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2019年5月14日 </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宋体" w:hAnsi="宋体" w:eastAsia="宋体" w:cs="宋体"/>
          <w:i w:val="0"/>
          <w:caps w:val="0"/>
          <w:color w:val="333333"/>
          <w:spacing w:val="0"/>
          <w:sz w:val="30"/>
          <w:szCs w:val="30"/>
        </w:rPr>
      </w:pPr>
      <w:bookmarkStart w:id="36" w:name="_Toc23831"/>
      <w:r>
        <w:rPr>
          <w:rFonts w:hint="eastAsia" w:ascii="宋体" w:hAnsi="宋体" w:eastAsia="宋体" w:cs="宋体"/>
          <w:b/>
          <w:i w:val="0"/>
          <w:caps w:val="0"/>
          <w:color w:val="333333"/>
          <w:spacing w:val="0"/>
          <w:sz w:val="30"/>
          <w:szCs w:val="30"/>
          <w:shd w:val="clear" w:fill="FFFFFF"/>
        </w:rPr>
        <w:t>国务院办公厅关于加快推进社会信用体系建设</w:t>
      </w:r>
      <w:bookmarkEnd w:id="36"/>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宋体" w:hAnsi="宋体" w:eastAsia="宋体" w:cs="宋体"/>
          <w:i w:val="0"/>
          <w:caps w:val="0"/>
          <w:color w:val="333333"/>
          <w:spacing w:val="0"/>
          <w:sz w:val="30"/>
          <w:szCs w:val="30"/>
        </w:rPr>
      </w:pPr>
      <w:bookmarkStart w:id="37" w:name="_Toc600"/>
      <w:bookmarkStart w:id="38" w:name="_Toc26497"/>
      <w:bookmarkStart w:id="39" w:name="_Toc29125"/>
      <w:bookmarkStart w:id="40" w:name="_Toc18711"/>
      <w:bookmarkStart w:id="41" w:name="_Toc11829"/>
      <w:r>
        <w:rPr>
          <w:rFonts w:hint="eastAsia" w:ascii="宋体" w:hAnsi="宋体" w:eastAsia="宋体" w:cs="宋体"/>
          <w:b/>
          <w:i w:val="0"/>
          <w:caps w:val="0"/>
          <w:color w:val="333333"/>
          <w:spacing w:val="0"/>
          <w:sz w:val="30"/>
          <w:szCs w:val="30"/>
          <w:shd w:val="clear" w:fill="FFFFFF"/>
        </w:rPr>
        <w:t>构建以信用为基础的新型监管机制的指导意见</w:t>
      </w:r>
      <w:bookmarkEnd w:id="37"/>
      <w:bookmarkEnd w:id="38"/>
      <w:bookmarkEnd w:id="39"/>
      <w:bookmarkEnd w:id="40"/>
      <w:bookmarkEnd w:id="41"/>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宋体" w:hAnsi="宋体" w:eastAsia="宋体" w:cs="宋体"/>
          <w:i w:val="0"/>
          <w:caps w:val="0"/>
          <w:color w:val="333333"/>
          <w:spacing w:val="0"/>
          <w:sz w:val="24"/>
          <w:szCs w:val="24"/>
        </w:rPr>
      </w:pPr>
      <w:bookmarkStart w:id="42" w:name="_Toc23894"/>
      <w:r>
        <w:rPr>
          <w:rFonts w:ascii="楷体" w:hAnsi="楷体" w:eastAsia="楷体" w:cs="楷体"/>
          <w:i w:val="0"/>
          <w:caps w:val="0"/>
          <w:color w:val="333333"/>
          <w:spacing w:val="0"/>
          <w:sz w:val="24"/>
          <w:szCs w:val="24"/>
          <w:shd w:val="clear" w:fill="FFFFFF"/>
        </w:rPr>
        <w:t>国办发〔2019〕35号</w:t>
      </w:r>
      <w:bookmarkEnd w:id="42"/>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各省、自治区、直辖市人民政府，国务院各部委、各直属机构：</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为加强社会信用体系建设，深入推进“放管服”改革，进一步发挥信用在创新监管机制、提高监管能力和水平方面的基础性作用，更好激发市场主体活力，推动高质量发展，经国务院同意，现提出如下意见。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一、总体要求</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以习近平新时代中国特色社会主义思想为指导，深入贯彻落实党的十九大和十九届二中、三中全会精神，按照依法依规、改革创新、协同共治的基本原则，以加强信用监管为着力点，创新监管理念、监管制度和监管方式，建立健全贯穿市场主体全生命周期，衔接事前、事中、事后全监管环节的新型监管机制，不断提升监管能力和水平，进一步规范市场秩序，优化营商环境，推动高质量发展。</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二、创新事前环节信用监管</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（一）建立健全信用承诺制度。</w:t>
      </w:r>
      <w:r>
        <w:rPr>
          <w:rFonts w:hint="eastAsia" w:ascii="宋体" w:hAnsi="宋体" w:eastAsia="宋体" w:cs="宋体"/>
          <w:i w:val="0"/>
          <w:caps w:val="0"/>
          <w:color w:val="333333"/>
          <w:spacing w:val="0"/>
          <w:sz w:val="21"/>
          <w:szCs w:val="21"/>
          <w:shd w:val="clear" w:fill="FFFFFF"/>
        </w:rPr>
        <w:t>在办理适用信用承诺制的行政许可事项时，申请人承诺符合审批条件并提交有关材料的，应予即时办理。申请人信用状况较好、部分申报材料不齐备但书面承诺在规定期限内提供的，应先行受理，加快办理进度。书面承诺履约情况记入信用记录，作为事中、事后监管的重要依据，对不履约的申请人，视情节实施惩戒。要加快梳理可开展信用承诺的行政许可事项，制定格式规范的信用承诺书，并依托各级信用门户网站向社会公开。鼓励市场主体主动向社会作出信用承诺。支持行业协会商会建立健全行业内信用承诺制度，加强行业自律。</w:t>
      </w:r>
      <w:r>
        <w:rPr>
          <w:rFonts w:hint="eastAsia" w:ascii="楷体" w:hAnsi="楷体" w:eastAsia="楷体" w:cs="楷体"/>
          <w:i w:val="0"/>
          <w:caps w:val="0"/>
          <w:color w:val="333333"/>
          <w:spacing w:val="0"/>
          <w:sz w:val="21"/>
          <w:szCs w:val="21"/>
          <w:shd w:val="clear" w:fill="FFFFFF"/>
        </w:rPr>
        <w:t>（各地区各部门按职责分别负责）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（二）探索开展经营者准入前诚信教育。</w:t>
      </w:r>
      <w:r>
        <w:rPr>
          <w:rFonts w:hint="eastAsia" w:ascii="宋体" w:hAnsi="宋体" w:eastAsia="宋体" w:cs="宋体"/>
          <w:i w:val="0"/>
          <w:caps w:val="0"/>
          <w:color w:val="333333"/>
          <w:spacing w:val="0"/>
          <w:sz w:val="21"/>
          <w:szCs w:val="21"/>
          <w:shd w:val="clear" w:fill="FFFFFF"/>
        </w:rPr>
        <w:t>充分利用各级各类政务服务窗口，广泛开展市场主体守法诚信教育。为市场主体办理注册、审批、备案等相关业务时，适时开展标准化、规范化、便捷化的法律知识和信用知识教育，提高经营者依法诚信经营意识。开展诚信教育不得收费，也不得作为市场准入的必要条件。</w:t>
      </w:r>
      <w:r>
        <w:rPr>
          <w:rFonts w:hint="eastAsia" w:ascii="楷体" w:hAnsi="楷体" w:eastAsia="楷体" w:cs="楷体"/>
          <w:i w:val="0"/>
          <w:caps w:val="0"/>
          <w:color w:val="333333"/>
          <w:spacing w:val="0"/>
          <w:sz w:val="21"/>
          <w:szCs w:val="21"/>
          <w:shd w:val="clear" w:fill="FFFFFF"/>
        </w:rPr>
        <w:t>（各地区各部门按职责分别负责）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（三）积极拓展信用报告应用。</w:t>
      </w:r>
      <w:r>
        <w:rPr>
          <w:rFonts w:hint="eastAsia" w:ascii="宋体" w:hAnsi="宋体" w:eastAsia="宋体" w:cs="宋体"/>
          <w:i w:val="0"/>
          <w:caps w:val="0"/>
          <w:color w:val="333333"/>
          <w:spacing w:val="0"/>
          <w:sz w:val="21"/>
          <w:szCs w:val="21"/>
          <w:shd w:val="clear" w:fill="FFFFFF"/>
        </w:rPr>
        <w:t>鼓励各类市场主体在生产经营活动中更广泛、主动地应用信用报告。在政府采购、招标投标、行政审批、市场准入、资质审核等事项中，充分发挥公共信用服务机构和第三方信用服务机构出具的信用报告作用。探索建立全国统一的信用报告标准，推动信用报告结果实现异地互认。</w:t>
      </w:r>
      <w:r>
        <w:rPr>
          <w:rFonts w:hint="eastAsia" w:ascii="楷体" w:hAnsi="楷体" w:eastAsia="楷体" w:cs="楷体"/>
          <w:i w:val="0"/>
          <w:caps w:val="0"/>
          <w:color w:val="333333"/>
          <w:spacing w:val="0"/>
          <w:sz w:val="21"/>
          <w:szCs w:val="21"/>
          <w:shd w:val="clear" w:fill="FFFFFF"/>
        </w:rPr>
        <w:t>（发展改革委、人民银行牵头，各地区各部门按职责分别负责）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三、加强事中环节信用监管</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（四）全面建立市场主体信用记录。</w:t>
      </w:r>
      <w:r>
        <w:rPr>
          <w:rFonts w:hint="eastAsia" w:ascii="宋体" w:hAnsi="宋体" w:eastAsia="宋体" w:cs="宋体"/>
          <w:i w:val="0"/>
          <w:caps w:val="0"/>
          <w:color w:val="333333"/>
          <w:spacing w:val="0"/>
          <w:sz w:val="21"/>
          <w:szCs w:val="21"/>
          <w:shd w:val="clear" w:fill="FFFFFF"/>
        </w:rPr>
        <w:t>根据权责清单建立信用信息采集目录，在办理注册登记、资质审核、日常监管、公共服务等过程中，及时、准确、全面记录市场主体信用行为，特别是将失信记录建档留痕，做到可查可核可溯。</w:t>
      </w:r>
      <w:r>
        <w:rPr>
          <w:rFonts w:hint="eastAsia" w:ascii="楷体" w:hAnsi="楷体" w:eastAsia="楷体" w:cs="楷体"/>
          <w:i w:val="0"/>
          <w:caps w:val="0"/>
          <w:color w:val="333333"/>
          <w:spacing w:val="0"/>
          <w:sz w:val="21"/>
          <w:szCs w:val="21"/>
          <w:shd w:val="clear" w:fill="FFFFFF"/>
        </w:rPr>
        <w:t>（各地区各部门按职责分别负责）</w:t>
      </w:r>
      <w:r>
        <w:rPr>
          <w:rFonts w:hint="eastAsia" w:ascii="宋体" w:hAnsi="宋体" w:eastAsia="宋体" w:cs="宋体"/>
          <w:i w:val="0"/>
          <w:caps w:val="0"/>
          <w:color w:val="333333"/>
          <w:spacing w:val="0"/>
          <w:sz w:val="21"/>
          <w:szCs w:val="21"/>
          <w:shd w:val="clear" w:fill="FFFFFF"/>
        </w:rPr>
        <w:t>完善法人和非法人组织统一社会信用代码制度，以统一社会信用代码为标识，整合形成完整的市场主体信用记录，并通过“信用中国”网站、国家企业信用信息公示系统或中国政府网及相关部门门户网站等渠道依法依规向社会公开。完成12315市场监管投诉举报热线和信息化平台整合工作，大力开展消费投诉公示，促进经营者落实消费维权主体责任。</w:t>
      </w:r>
      <w:r>
        <w:rPr>
          <w:rFonts w:hint="eastAsia" w:ascii="楷体" w:hAnsi="楷体" w:eastAsia="楷体" w:cs="楷体"/>
          <w:i w:val="0"/>
          <w:caps w:val="0"/>
          <w:color w:val="333333"/>
          <w:spacing w:val="0"/>
          <w:sz w:val="21"/>
          <w:szCs w:val="21"/>
          <w:shd w:val="clear" w:fill="FFFFFF"/>
        </w:rPr>
        <w:t>（发展改革委、市场监管总局负责）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（五）建立健全信用信息自愿注册机制。</w:t>
      </w:r>
      <w:r>
        <w:rPr>
          <w:rFonts w:hint="eastAsia" w:ascii="宋体" w:hAnsi="宋体" w:eastAsia="宋体" w:cs="宋体"/>
          <w:i w:val="0"/>
          <w:caps w:val="0"/>
          <w:color w:val="333333"/>
          <w:spacing w:val="0"/>
          <w:sz w:val="21"/>
          <w:szCs w:val="21"/>
          <w:shd w:val="clear" w:fill="FFFFFF"/>
        </w:rPr>
        <w:t>鼓励市场主体在“信用中国”网站或其他渠道上自愿注册资质证照、市场经营、合同履约、社会公益等信用信息，并对信息真实性公开作出信用承诺，授权网站对相关信息进行整合、共享与应用。经验证的自愿注册信息可作为开展信用评价和生成信用报告的重要依据。</w:t>
      </w:r>
      <w:r>
        <w:rPr>
          <w:rFonts w:hint="eastAsia" w:ascii="楷体" w:hAnsi="楷体" w:eastAsia="楷体" w:cs="楷体"/>
          <w:i w:val="0"/>
          <w:caps w:val="0"/>
          <w:color w:val="333333"/>
          <w:spacing w:val="0"/>
          <w:sz w:val="21"/>
          <w:szCs w:val="21"/>
          <w:shd w:val="clear" w:fill="FFFFFF"/>
        </w:rPr>
        <w:t>（发展改革委牵头，各部门按职责分别负责）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（六）深入开展公共信用综合评价。</w:t>
      </w:r>
      <w:r>
        <w:rPr>
          <w:rFonts w:hint="eastAsia" w:ascii="宋体" w:hAnsi="宋体" w:eastAsia="宋体" w:cs="宋体"/>
          <w:i w:val="0"/>
          <w:caps w:val="0"/>
          <w:color w:val="333333"/>
          <w:spacing w:val="0"/>
          <w:sz w:val="21"/>
          <w:szCs w:val="21"/>
          <w:shd w:val="clear" w:fill="FFFFFF"/>
        </w:rPr>
        <w:t>全国信用信息共享平台要加强与相关部门的协同配合，依法依规整合各类信用信息，对市场主体开展全覆盖、标准化、公益性的公共信用综合评价，定期将评价结果推送至相关政府部门、金融机构、行业协会商会参考使用，并依照有关规定向社会公开。推动相关部门利用公共信用综合评价结果，结合部门行业管理数据，建立行业信用评价模型，为信用监管提供更精准的依据。</w:t>
      </w:r>
      <w:r>
        <w:rPr>
          <w:rFonts w:hint="eastAsia" w:ascii="楷体" w:hAnsi="楷体" w:eastAsia="楷体" w:cs="楷体"/>
          <w:i w:val="0"/>
          <w:caps w:val="0"/>
          <w:color w:val="333333"/>
          <w:spacing w:val="0"/>
          <w:sz w:val="21"/>
          <w:szCs w:val="21"/>
          <w:shd w:val="clear" w:fill="FFFFFF"/>
        </w:rPr>
        <w:t>（发展改革委牵头，各部门按职责分别负责）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（七）大力推进信用分级分类监管。</w:t>
      </w:r>
      <w:r>
        <w:rPr>
          <w:rFonts w:hint="eastAsia" w:ascii="宋体" w:hAnsi="宋体" w:eastAsia="宋体" w:cs="宋体"/>
          <w:i w:val="0"/>
          <w:caps w:val="0"/>
          <w:color w:val="333333"/>
          <w:spacing w:val="0"/>
          <w:sz w:val="21"/>
          <w:szCs w:val="21"/>
          <w:shd w:val="clear" w:fill="FFFFFF"/>
        </w:rPr>
        <w:t>在充分掌握信用信息、综合研判信用状况的基础上，以公共信用综合评价结果、行业信用评价结果等为依据，对监管对象进行分级分类，根据信用等级高低采取差异化的监管措施。“双随机、一公开”监管要与信用等级相结合，对信用较好、风险较低的市场主体，可合理降低抽查比例和频次，减少对正常生产经营的影响；对信用风险一般的市场主体，按常规比例和频次抽查；对违法失信、风险较高的市场主体，适当提高抽查比例和频次，依法依规实行严管和惩戒。</w:t>
      </w:r>
      <w:r>
        <w:rPr>
          <w:rFonts w:hint="eastAsia" w:ascii="楷体" w:hAnsi="楷体" w:eastAsia="楷体" w:cs="楷体"/>
          <w:i w:val="0"/>
          <w:caps w:val="0"/>
          <w:color w:val="333333"/>
          <w:spacing w:val="0"/>
          <w:sz w:val="21"/>
          <w:szCs w:val="21"/>
          <w:shd w:val="clear" w:fill="FFFFFF"/>
        </w:rPr>
        <w:t>（各地区各部门按职责分别负责）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四、完善事后环节信用监管</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（八）健全失信联合惩戒对象认定机制。</w:t>
      </w:r>
      <w:r>
        <w:rPr>
          <w:rFonts w:hint="eastAsia" w:ascii="宋体" w:hAnsi="宋体" w:eastAsia="宋体" w:cs="宋体"/>
          <w:i w:val="0"/>
          <w:caps w:val="0"/>
          <w:color w:val="333333"/>
          <w:spacing w:val="0"/>
          <w:sz w:val="21"/>
          <w:szCs w:val="21"/>
          <w:shd w:val="clear" w:fill="FFFFFF"/>
        </w:rPr>
        <w:t>有关部门依据在事前、事中监管环节获取并认定的失信记录，依法依规建立健全失信联合惩戒对象名单制度。以相关司法裁判、行政处罚、行政强制等处理结果为依据，按程序将涉及性质恶劣、情节严重、社会危害较大的违法失信行为的市场主体纳入失信联合惩戒对象名单。加快完善相关管理办法，明确认定依据、标准、程序、异议申诉和退出机制。制定管理办法要充分征求社会公众意见，出台的标准及其具体认定程序以适当方式向社会公开。支持有关部门根据监管需要建立重点关注对象名单制度，对存在失信行为但严重程度尚未达到失信联合惩戒对象认定标准的市场主体，可实施与其失信程度相对应的严格监管措施。</w:t>
      </w:r>
      <w:r>
        <w:rPr>
          <w:rFonts w:hint="eastAsia" w:ascii="楷体" w:hAnsi="楷体" w:eastAsia="楷体" w:cs="楷体"/>
          <w:i w:val="0"/>
          <w:caps w:val="0"/>
          <w:color w:val="333333"/>
          <w:spacing w:val="0"/>
          <w:sz w:val="21"/>
          <w:szCs w:val="21"/>
          <w:shd w:val="clear" w:fill="FFFFFF"/>
        </w:rPr>
        <w:t>（各部门按职责分别负责）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（九）督促失信市场主体限期整改。</w:t>
      </w:r>
      <w:r>
        <w:rPr>
          <w:rFonts w:hint="eastAsia" w:ascii="宋体" w:hAnsi="宋体" w:eastAsia="宋体" w:cs="宋体"/>
          <w:i w:val="0"/>
          <w:caps w:val="0"/>
          <w:color w:val="333333"/>
          <w:spacing w:val="0"/>
          <w:sz w:val="21"/>
          <w:szCs w:val="21"/>
          <w:shd w:val="clear" w:fill="FFFFFF"/>
        </w:rPr>
        <w:t>失信市场主体应当在规定期限内认真整改，整改不到位的，按照“谁认定、谁约谈”的原则，由认定部门依法依规启动提示约谈或警示约谈程序，督促失信市场主体履行相关义务、消除不良影响。约谈记录记入失信市场主体信用记录，统一归集后纳入全国信用信息共享平台。大力推进重点领域失信问题专项治理，采取有力有效措施加快推进整改。</w:t>
      </w:r>
      <w:r>
        <w:rPr>
          <w:rFonts w:hint="eastAsia" w:ascii="楷体" w:hAnsi="楷体" w:eastAsia="楷体" w:cs="楷体"/>
          <w:i w:val="0"/>
          <w:caps w:val="0"/>
          <w:color w:val="333333"/>
          <w:spacing w:val="0"/>
          <w:sz w:val="21"/>
          <w:szCs w:val="21"/>
          <w:shd w:val="clear" w:fill="FFFFFF"/>
        </w:rPr>
        <w:t>（各部门按职责分别负责）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（十）深入开展失信联合惩戒。</w:t>
      </w:r>
      <w:r>
        <w:rPr>
          <w:rFonts w:hint="eastAsia" w:ascii="宋体" w:hAnsi="宋体" w:eastAsia="宋体" w:cs="宋体"/>
          <w:i w:val="0"/>
          <w:caps w:val="0"/>
          <w:color w:val="333333"/>
          <w:spacing w:val="0"/>
          <w:sz w:val="21"/>
          <w:szCs w:val="21"/>
          <w:shd w:val="clear" w:fill="FFFFFF"/>
        </w:rPr>
        <w:t>加快构建跨地区、跨行业、跨领域的失信联合惩戒机制，从根本上解决失信行为反复出现、易地出现的问题。依法依规建立联合惩戒措施清单，动态更新并向社会公开，形成行政性、市场性和行业性等惩戒措施多管齐下，社会力量广泛参与的失信联合惩戒大格局。重点实施惩戒力度大、监管效果好的失信惩戒措施，包括依法依规限制失信联合惩戒对象股票发行、招标投标、申请财政性资金项目、享受税收优惠等行政性惩戒措施，限制获得授信、乘坐飞机、乘坐高等级列车和席次等市场性惩戒措施，以及通报批评、公开谴责等行业性惩戒措施。</w:t>
      </w:r>
      <w:r>
        <w:rPr>
          <w:rFonts w:hint="eastAsia" w:ascii="楷体" w:hAnsi="楷体" w:eastAsia="楷体" w:cs="楷体"/>
          <w:i w:val="0"/>
          <w:caps w:val="0"/>
          <w:color w:val="333333"/>
          <w:spacing w:val="0"/>
          <w:sz w:val="21"/>
          <w:szCs w:val="21"/>
          <w:shd w:val="clear" w:fill="FFFFFF"/>
        </w:rPr>
        <w:t>（发展改革委牵头，各地区各部门按职责分别负责）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（十一）坚决依法依规实施市场和行业禁入措施。</w:t>
      </w:r>
      <w:r>
        <w:rPr>
          <w:rFonts w:hint="eastAsia" w:ascii="宋体" w:hAnsi="宋体" w:eastAsia="宋体" w:cs="宋体"/>
          <w:i w:val="0"/>
          <w:caps w:val="0"/>
          <w:color w:val="333333"/>
          <w:spacing w:val="0"/>
          <w:sz w:val="21"/>
          <w:szCs w:val="21"/>
          <w:shd w:val="clear" w:fill="FFFFFF"/>
        </w:rPr>
        <w:t>以食品药品、生态环境、工程质量、安全生产、养老托幼、城市运行安全等与人民群众生命财产安全直接相关的领域为重点，实施严格监管，加大惩戒力度。对拒不履行司法裁判或行政处罚决定、屡犯不改、造成重大损失的市场主体及其相关责任人，坚决依法依规在一定期限内实施市场和行业禁入措施，直至永远逐出市场。</w:t>
      </w:r>
      <w:r>
        <w:rPr>
          <w:rFonts w:hint="eastAsia" w:ascii="楷体" w:hAnsi="楷体" w:eastAsia="楷体" w:cs="楷体"/>
          <w:i w:val="0"/>
          <w:caps w:val="0"/>
          <w:color w:val="333333"/>
          <w:spacing w:val="0"/>
          <w:sz w:val="21"/>
          <w:szCs w:val="21"/>
          <w:shd w:val="clear" w:fill="FFFFFF"/>
        </w:rPr>
        <w:t>（发展改革委牵头，各地区各部门按职责分别负责）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（十二）依法追究违法失信责任。</w:t>
      </w:r>
      <w:r>
        <w:rPr>
          <w:rFonts w:hint="eastAsia" w:ascii="宋体" w:hAnsi="宋体" w:eastAsia="宋体" w:cs="宋体"/>
          <w:i w:val="0"/>
          <w:caps w:val="0"/>
          <w:color w:val="333333"/>
          <w:spacing w:val="0"/>
          <w:sz w:val="21"/>
          <w:szCs w:val="21"/>
          <w:shd w:val="clear" w:fill="FFFFFF"/>
        </w:rPr>
        <w:t>建立健全责任追究机制，对被列入失信联合惩戒对象名单的市场主体，依法依规对其法定代表人或主要负责人、实际控制人进行失信惩戒，并将相关失信行为记入其个人信用记录。机关事业单位、国有企业出现违法失信行为的，要通报上级主管单位和审计部门；工作人员出现违法失信行为的，要通报所在单位及相关纪检监察、组织人事部门。</w:t>
      </w:r>
      <w:r>
        <w:rPr>
          <w:rFonts w:hint="eastAsia" w:ascii="楷体" w:hAnsi="楷体" w:eastAsia="楷体" w:cs="楷体"/>
          <w:i w:val="0"/>
          <w:caps w:val="0"/>
          <w:color w:val="333333"/>
          <w:spacing w:val="0"/>
          <w:sz w:val="21"/>
          <w:szCs w:val="21"/>
          <w:shd w:val="clear" w:fill="FFFFFF"/>
        </w:rPr>
        <w:t>（各地区各部门按职责分别负责）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（十三）探索建立信用修复机制。</w:t>
      </w:r>
      <w:r>
        <w:rPr>
          <w:rFonts w:hint="eastAsia" w:ascii="宋体" w:hAnsi="宋体" w:eastAsia="宋体" w:cs="宋体"/>
          <w:i w:val="0"/>
          <w:caps w:val="0"/>
          <w:color w:val="333333"/>
          <w:spacing w:val="0"/>
          <w:sz w:val="21"/>
          <w:szCs w:val="21"/>
          <w:shd w:val="clear" w:fill="FFFFFF"/>
        </w:rPr>
        <w:t>失信市场主体在规定期限内纠正失信行为、消除不良影响的，可通过作出信用承诺、完成信用整改、通过信用核查、接受专题培训、提交信用报告、参加公益慈善活动等方式开展信用修复。修复完成后，各地区各部门要按程序及时停止公示其失信记录，终止实施联合惩戒措施。加快建立完善协同联动、一网通办机制，为失信市场主体提供高效便捷的信用修复服务。鼓励符合条件的第三方信用服务机构向失信市场主体提供信用报告、信用管理咨询等服务。</w:t>
      </w:r>
      <w:r>
        <w:rPr>
          <w:rFonts w:hint="eastAsia" w:ascii="楷体" w:hAnsi="楷体" w:eastAsia="楷体" w:cs="楷体"/>
          <w:i w:val="0"/>
          <w:caps w:val="0"/>
          <w:color w:val="333333"/>
          <w:spacing w:val="0"/>
          <w:sz w:val="21"/>
          <w:szCs w:val="21"/>
          <w:shd w:val="clear" w:fill="FFFFFF"/>
        </w:rPr>
        <w:t>（发展改革委牵头，各地区各部门按职责分别负责）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五、强化信用监管的支撑保障</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（十四）着力提升信用监管信息化建设水平。</w:t>
      </w:r>
      <w:r>
        <w:rPr>
          <w:rFonts w:hint="eastAsia" w:ascii="宋体" w:hAnsi="宋体" w:eastAsia="宋体" w:cs="宋体"/>
          <w:i w:val="0"/>
          <w:caps w:val="0"/>
          <w:color w:val="333333"/>
          <w:spacing w:val="0"/>
          <w:sz w:val="21"/>
          <w:szCs w:val="21"/>
          <w:shd w:val="clear" w:fill="FFFFFF"/>
        </w:rPr>
        <w:t>充分发挥全国信用信息共享平台和国家“互联网+监管”系统信息归集共享作用，对政府部门信用信息做到“应归尽归”，推进地方信用信息平台、行业信用信息系统互联互通，畅通政企数据流通机制，形成全面覆盖各地区各部门、各类市场主体的信用信息“一张网”。依托全国信用信息共享平台和国家“互联网+监管”系统，将市场主体基础信息、执法监管和处置信息、失信联合惩戒信息等与相关部门业务系统按需共享，在信用监管等过程中加以应用，支撑形成数据同步、措施统一、标准一致的信用监管协同机制。</w:t>
      </w:r>
      <w:r>
        <w:rPr>
          <w:rFonts w:hint="eastAsia" w:ascii="楷体" w:hAnsi="楷体" w:eastAsia="楷体" w:cs="楷体"/>
          <w:i w:val="0"/>
          <w:caps w:val="0"/>
          <w:color w:val="333333"/>
          <w:spacing w:val="0"/>
          <w:sz w:val="21"/>
          <w:szCs w:val="21"/>
          <w:shd w:val="clear" w:fill="FFFFFF"/>
        </w:rPr>
        <w:t>（发展改革委、国务院办公厅牵头，各地区各部门按职责分别负责）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（十五）大力推进信用监管信息公开公示。</w:t>
      </w:r>
      <w:r>
        <w:rPr>
          <w:rFonts w:hint="eastAsia" w:ascii="宋体" w:hAnsi="宋体" w:eastAsia="宋体" w:cs="宋体"/>
          <w:i w:val="0"/>
          <w:caps w:val="0"/>
          <w:color w:val="333333"/>
          <w:spacing w:val="0"/>
          <w:sz w:val="21"/>
          <w:szCs w:val="21"/>
          <w:shd w:val="clear" w:fill="FFFFFF"/>
        </w:rPr>
        <w:t>在行政许可、行政处罚信息集中公示基础上，依托“信用中国”网站、中国政府网或其他渠道，进一步研究推动行政强制、行政确认、行政征收、行政给付、行政裁决、行政补偿、行政奖励和行政监督检查等其他行政行为信息7个工作日内上网公开，推动在司法裁判和执行活动中应当公开的失信被执行人、虚假诉讼失信人相关信息通过适当渠道公开，做到“应公开、尽公开”。</w:t>
      </w:r>
      <w:r>
        <w:rPr>
          <w:rFonts w:hint="eastAsia" w:ascii="楷体" w:hAnsi="楷体" w:eastAsia="楷体" w:cs="楷体"/>
          <w:i w:val="0"/>
          <w:caps w:val="0"/>
          <w:color w:val="333333"/>
          <w:spacing w:val="0"/>
          <w:sz w:val="21"/>
          <w:szCs w:val="21"/>
          <w:shd w:val="clear" w:fill="FFFFFF"/>
        </w:rPr>
        <w:t>（各地区各部门按职责分别负责）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（十六）充分发挥“互联网+”、大数据对信用监管的支撑作用。</w:t>
      </w:r>
      <w:r>
        <w:rPr>
          <w:rFonts w:hint="eastAsia" w:ascii="宋体" w:hAnsi="宋体" w:eastAsia="宋体" w:cs="宋体"/>
          <w:i w:val="0"/>
          <w:caps w:val="0"/>
          <w:color w:val="333333"/>
          <w:spacing w:val="0"/>
          <w:sz w:val="21"/>
          <w:szCs w:val="21"/>
          <w:shd w:val="clear" w:fill="FFFFFF"/>
        </w:rPr>
        <w:t>依托国家“互联网+监管”等系统，有效整合公共信用信息、市场信用信息、投诉举报信息和互联网及第三方相关信息，充分运用大数据、人工智能等新一代信息技术，实现信用监管数据可比对、过程可追溯、问题可监测。鼓励各地区各部门结合实际，依法依规与大数据机构合作开发信用信息，及时动态掌握市场主体经营情况及其规律特征。充分利用国家“互联网+监管”等系统建立风险预判预警机制，及早发现防范苗头性和跨行业跨区域风险。运用大数据主动发现和识别违法违规线索，有效防范危害公共利益和群众生命财产安全的违法违规行为。鼓励通过物联网、视联网等非接触式监管方式提升执法监管效率，实现监管规范化、精准化、智能化，减少人为因素，实现公正监管，杜绝随意检查、多头监管等问题，实现“进一次门、查多项事”，减少对监管对象的扰动。</w:t>
      </w:r>
      <w:r>
        <w:rPr>
          <w:rFonts w:hint="eastAsia" w:ascii="楷体" w:hAnsi="楷体" w:eastAsia="楷体" w:cs="楷体"/>
          <w:i w:val="0"/>
          <w:caps w:val="0"/>
          <w:color w:val="333333"/>
          <w:spacing w:val="0"/>
          <w:sz w:val="21"/>
          <w:szCs w:val="21"/>
          <w:shd w:val="clear" w:fill="FFFFFF"/>
        </w:rPr>
        <w:t>（国务院办公厅、发展改革委、市场监管总局牵头，各部门按职责分别负责）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（十七）切实加大信用信息安全和市场主体权益保护力度。</w:t>
      </w:r>
      <w:r>
        <w:rPr>
          <w:rFonts w:hint="eastAsia" w:ascii="宋体" w:hAnsi="宋体" w:eastAsia="宋体" w:cs="宋体"/>
          <w:i w:val="0"/>
          <w:caps w:val="0"/>
          <w:color w:val="333333"/>
          <w:spacing w:val="0"/>
          <w:sz w:val="21"/>
          <w:szCs w:val="21"/>
          <w:shd w:val="clear" w:fill="FFFFFF"/>
        </w:rPr>
        <w:t>严肃查处违规泄露、篡改信用信息或利用信用信息谋私等行为。加强信用信息安全基础设施和安全防护能力建设。建立健全信用信息异议投诉制度，对市场主体提出异议的信息，信息提供和采集单位要尽快核实并反馈结果，经核实有误的信息要及时予以更正或撤销。因错误认定失信联合惩戒对象名单、错误采取失信联合惩戒措施损害市场主体合法权益的，有关部门和单位要积极采取措施消除不良影响。</w:t>
      </w:r>
      <w:r>
        <w:rPr>
          <w:rFonts w:hint="eastAsia" w:ascii="楷体" w:hAnsi="楷体" w:eastAsia="楷体" w:cs="楷体"/>
          <w:i w:val="0"/>
          <w:caps w:val="0"/>
          <w:color w:val="333333"/>
          <w:spacing w:val="0"/>
          <w:sz w:val="21"/>
          <w:szCs w:val="21"/>
          <w:shd w:val="clear" w:fill="FFFFFF"/>
        </w:rPr>
        <w:t>（各地区各部门按职责分别负责）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（十八）积极引导行业组织和信用服务机构协同监管。</w:t>
      </w:r>
      <w:r>
        <w:rPr>
          <w:rFonts w:hint="eastAsia" w:ascii="宋体" w:hAnsi="宋体" w:eastAsia="宋体" w:cs="宋体"/>
          <w:i w:val="0"/>
          <w:caps w:val="0"/>
          <w:color w:val="333333"/>
          <w:spacing w:val="0"/>
          <w:sz w:val="21"/>
          <w:szCs w:val="21"/>
          <w:shd w:val="clear" w:fill="FFFFFF"/>
        </w:rPr>
        <w:t>支持有关部门授权的行业协会商会协助开展行业信用建设和信用监管，鼓励行业协会商会建立会员信用记录，开展信用承诺、信用培训、诚信宣传、诚信倡议等，将诚信作为行规行约重要内容，引导本行业增强依法诚信经营意识。推动征信、信用评级、信用保险、信用担保、履约担保、信用管理咨询及培训等信用服务发展，切实发挥第三方信用服务机构在信用信息采集、加工、应用等方面的专业作用。鼓励相关部门与第三方信用服务机构在信用记录归集、信用信息共享、信用大数据分析、信用风险预警、失信案例核查、失信行为跟踪监测等方面开展合作。</w:t>
      </w:r>
      <w:r>
        <w:rPr>
          <w:rFonts w:hint="eastAsia" w:ascii="楷体" w:hAnsi="楷体" w:eastAsia="楷体" w:cs="楷体"/>
          <w:i w:val="0"/>
          <w:caps w:val="0"/>
          <w:color w:val="333333"/>
          <w:spacing w:val="0"/>
          <w:sz w:val="21"/>
          <w:szCs w:val="21"/>
          <w:shd w:val="clear" w:fill="FFFFFF"/>
        </w:rPr>
        <w:t>（发展改革委、民政部、人民银行按职责分别负责）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六、加强信用监管的组织实施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（十九）加强组织领导。</w:t>
      </w:r>
      <w:r>
        <w:rPr>
          <w:rFonts w:hint="eastAsia" w:ascii="宋体" w:hAnsi="宋体" w:eastAsia="宋体" w:cs="宋体"/>
          <w:i w:val="0"/>
          <w:caps w:val="0"/>
          <w:color w:val="333333"/>
          <w:spacing w:val="0"/>
          <w:sz w:val="21"/>
          <w:szCs w:val="21"/>
          <w:shd w:val="clear" w:fill="FFFFFF"/>
        </w:rPr>
        <w:t>各地区各部门要把构建以信用为基础的新型监管机制作为深入推进“放管服”改革的重要举措，摆在更加突出的位置，加强组织领导，细化责任分工，有力有序有效推动落实。完善信用监管的配套制度，并加强与其他“放管服”改革事项的衔接。负有市场监管、行业监管职责的部门要切实承担行业信用建设和信用监管的主体责任，充分发挥行业组织、第三方信用服务机构作用，为公众监督创造有利条件，整合形成全社会共同参与信用监管的强大合力。</w:t>
      </w:r>
      <w:r>
        <w:rPr>
          <w:rFonts w:hint="eastAsia" w:ascii="楷体" w:hAnsi="楷体" w:eastAsia="楷体" w:cs="楷体"/>
          <w:i w:val="0"/>
          <w:caps w:val="0"/>
          <w:color w:val="333333"/>
          <w:spacing w:val="0"/>
          <w:sz w:val="21"/>
          <w:szCs w:val="21"/>
          <w:shd w:val="clear" w:fill="FFFFFF"/>
        </w:rPr>
        <w:t>（发展改革委牵头，各地区各部门按职责分别负责）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（二十）开展试点示范。</w:t>
      </w:r>
      <w:r>
        <w:rPr>
          <w:rFonts w:hint="eastAsia" w:ascii="宋体" w:hAnsi="宋体" w:eastAsia="宋体" w:cs="宋体"/>
          <w:i w:val="0"/>
          <w:caps w:val="0"/>
          <w:color w:val="333333"/>
          <w:spacing w:val="0"/>
          <w:sz w:val="21"/>
          <w:szCs w:val="21"/>
          <w:shd w:val="clear" w:fill="FFFFFF"/>
        </w:rPr>
        <w:t>围绕信用承诺、信用修复、失信联合惩戒、信用大数据开发利用等重点工作，组织开展信用建设和信用监管试点示范。在各地区各部门探索创新的基础上，及时总结、提炼、交流开展信用建设和信用监管的好经验、好做法，在更大范围复制推广。</w:t>
      </w:r>
      <w:r>
        <w:rPr>
          <w:rFonts w:hint="eastAsia" w:ascii="楷体" w:hAnsi="楷体" w:eastAsia="楷体" w:cs="楷体"/>
          <w:i w:val="0"/>
          <w:caps w:val="0"/>
          <w:color w:val="333333"/>
          <w:spacing w:val="0"/>
          <w:sz w:val="21"/>
          <w:szCs w:val="21"/>
          <w:shd w:val="clear" w:fill="FFFFFF"/>
        </w:rPr>
        <w:t>（发展改革委牵头，各地区各部门按职责分别负责）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（二十一）加快建章立制。</w:t>
      </w:r>
      <w:r>
        <w:rPr>
          <w:rFonts w:hint="eastAsia" w:ascii="宋体" w:hAnsi="宋体" w:eastAsia="宋体" w:cs="宋体"/>
          <w:i w:val="0"/>
          <w:caps w:val="0"/>
          <w:color w:val="333333"/>
          <w:spacing w:val="0"/>
          <w:sz w:val="21"/>
          <w:szCs w:val="21"/>
          <w:shd w:val="clear" w:fill="FFFFFF"/>
        </w:rPr>
        <w:t>推动制定社会信用体系建设相关法律，加快研究出台公共信用信息管理条例、统一社会信用代码管理办法等法规。建立健全全国统一的信用监管规则和标准，及时出台相关地方性法规、政府规章或规范性文件，将信用监管中行之有效的做法上升为制度规范。抓紧制定开展信用监管急需的国家标准。</w:t>
      </w:r>
      <w:r>
        <w:rPr>
          <w:rFonts w:hint="eastAsia" w:ascii="楷体" w:hAnsi="楷体" w:eastAsia="楷体" w:cs="楷体"/>
          <w:i w:val="0"/>
          <w:caps w:val="0"/>
          <w:color w:val="333333"/>
          <w:spacing w:val="0"/>
          <w:sz w:val="21"/>
          <w:szCs w:val="21"/>
          <w:shd w:val="clear" w:fill="FFFFFF"/>
        </w:rPr>
        <w:t>（发展改革委、司法部牵头，各地区各部门按职责分别负责）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（二十二）做好宣传解读。</w:t>
      </w:r>
      <w:r>
        <w:rPr>
          <w:rFonts w:hint="eastAsia" w:ascii="宋体" w:hAnsi="宋体" w:eastAsia="宋体" w:cs="宋体"/>
          <w:i w:val="0"/>
          <w:caps w:val="0"/>
          <w:color w:val="333333"/>
          <w:spacing w:val="0"/>
          <w:sz w:val="21"/>
          <w:szCs w:val="21"/>
          <w:shd w:val="clear" w:fill="FFFFFF"/>
        </w:rPr>
        <w:t>各地区各部门要通过各种渠道和形式，深入细致向市场主体做好政策宣传解读工作，让经营者充分理解并积极配合以信用为基础的新型监管措施。加强对基层和一线监管人员的指导和培训。组织新闻媒体广泛报道，积极宣传信用监管措施及其成效，营造良好社会氛围。</w:t>
      </w:r>
      <w:r>
        <w:rPr>
          <w:rFonts w:hint="eastAsia" w:ascii="楷体" w:hAnsi="楷体" w:eastAsia="楷体" w:cs="楷体"/>
          <w:i w:val="0"/>
          <w:caps w:val="0"/>
          <w:color w:val="333333"/>
          <w:spacing w:val="0"/>
          <w:sz w:val="21"/>
          <w:szCs w:val="21"/>
          <w:shd w:val="clear" w:fill="FFFFFF"/>
        </w:rPr>
        <w:t>（发展改革委牵头，各地区各部门按职责分别负责）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国务院办公厅</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2019年7月9日</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21"/>
          <w:szCs w:val="21"/>
          <w:shd w:val="clear"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21"/>
          <w:szCs w:val="21"/>
          <w:shd w:val="clear"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21"/>
          <w:szCs w:val="21"/>
          <w:shd w:val="clear"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21"/>
          <w:szCs w:val="21"/>
          <w:shd w:val="clear" w:fill="FFFFFF"/>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宋体" w:hAnsi="宋体" w:eastAsia="宋体" w:cs="宋体"/>
          <w:i w:val="0"/>
          <w:caps w:val="0"/>
          <w:color w:val="333333"/>
          <w:spacing w:val="0"/>
          <w:sz w:val="30"/>
          <w:szCs w:val="30"/>
        </w:rPr>
      </w:pPr>
      <w:bookmarkStart w:id="43" w:name="_Toc27959"/>
      <w:r>
        <w:rPr>
          <w:rFonts w:hint="eastAsia" w:ascii="宋体" w:hAnsi="宋体" w:eastAsia="宋体" w:cs="宋体"/>
          <w:b/>
          <w:i w:val="0"/>
          <w:caps w:val="0"/>
          <w:color w:val="333333"/>
          <w:spacing w:val="0"/>
          <w:sz w:val="30"/>
          <w:szCs w:val="30"/>
          <w:shd w:val="clear" w:fill="FFFFFF"/>
        </w:rPr>
        <w:t>国务院办公厅关于促进平台经济</w:t>
      </w:r>
      <w:bookmarkEnd w:id="43"/>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宋体" w:hAnsi="宋体" w:eastAsia="宋体" w:cs="宋体"/>
          <w:i w:val="0"/>
          <w:caps w:val="0"/>
          <w:color w:val="333333"/>
          <w:spacing w:val="0"/>
          <w:sz w:val="30"/>
          <w:szCs w:val="30"/>
        </w:rPr>
      </w:pPr>
      <w:bookmarkStart w:id="44" w:name="_Toc10911"/>
      <w:bookmarkStart w:id="45" w:name="_Toc23605"/>
      <w:bookmarkStart w:id="46" w:name="_Toc19967"/>
      <w:bookmarkStart w:id="47" w:name="_Toc6071"/>
      <w:r>
        <w:rPr>
          <w:rFonts w:hint="eastAsia" w:ascii="宋体" w:hAnsi="宋体" w:eastAsia="宋体" w:cs="宋体"/>
          <w:b/>
          <w:i w:val="0"/>
          <w:caps w:val="0"/>
          <w:color w:val="333333"/>
          <w:spacing w:val="0"/>
          <w:sz w:val="30"/>
          <w:szCs w:val="30"/>
          <w:shd w:val="clear" w:fill="FFFFFF"/>
        </w:rPr>
        <w:t>规范健康发展的指导意见</w:t>
      </w:r>
      <w:bookmarkEnd w:id="44"/>
      <w:bookmarkEnd w:id="45"/>
      <w:bookmarkEnd w:id="46"/>
      <w:bookmarkEnd w:id="47"/>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宋体" w:hAnsi="宋体" w:eastAsia="宋体" w:cs="宋体"/>
          <w:i w:val="0"/>
          <w:caps w:val="0"/>
          <w:color w:val="333333"/>
          <w:spacing w:val="0"/>
          <w:sz w:val="24"/>
          <w:szCs w:val="24"/>
        </w:rPr>
      </w:pPr>
      <w:bookmarkStart w:id="48" w:name="_Toc13306"/>
      <w:r>
        <w:rPr>
          <w:rFonts w:ascii="楷体" w:hAnsi="楷体" w:eastAsia="楷体" w:cs="楷体"/>
          <w:i w:val="0"/>
          <w:caps w:val="0"/>
          <w:color w:val="333333"/>
          <w:spacing w:val="0"/>
          <w:sz w:val="24"/>
          <w:szCs w:val="24"/>
          <w:shd w:val="clear" w:fill="FFFFFF"/>
        </w:rPr>
        <w:t>国办发〔2019〕38号</w:t>
      </w:r>
      <w:bookmarkEnd w:id="48"/>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各省、自治区、直辖市人民政府，国务院各部委、各直属机构：</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互联网平台经济是生产力新的组织方式，是经济发展新动能，对优化资源配置、促进跨界融通发展和大众创业万众创新、推动产业升级、拓展消费市场尤其是增加就业，都有重要作用。要坚持以习近平新时代中国特色社会主义思想为指导，深入贯彻落实党的十九大和十九届二中、三中全会精神，持续深化“放管服”改革，围绕更大激发市场活力，聚焦平台经济发展面临的突出问题，遵循规律、顺势而为，加大政策引导、支持和保障力度，创新监管理念和方式，落实和完善包容审慎监管要求，推动建立健全适应平台经济发展特点的新型监管机制，着力营造公平竞争市场环境。为促进平台经济规范健康发展，经国务院同意，现提出以下意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一、优化完善市场准入条件，降低企业合规成本</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楷体" w:hAnsi="楷体" w:eastAsia="楷体" w:cs="楷体"/>
          <w:i w:val="0"/>
          <w:caps w:val="0"/>
          <w:color w:val="333333"/>
          <w:spacing w:val="0"/>
          <w:sz w:val="19"/>
          <w:szCs w:val="19"/>
          <w:shd w:val="clear" w:fill="FFFFFF"/>
        </w:rPr>
        <w:t>（一）推进平台经济相关市场主体登记注册便利化。</w:t>
      </w:r>
      <w:r>
        <w:rPr>
          <w:rFonts w:hint="eastAsia" w:ascii="宋体" w:hAnsi="宋体" w:eastAsia="宋体" w:cs="宋体"/>
          <w:i w:val="0"/>
          <w:caps w:val="0"/>
          <w:color w:val="333333"/>
          <w:spacing w:val="0"/>
          <w:sz w:val="19"/>
          <w:szCs w:val="19"/>
          <w:shd w:val="clear" w:fill="FFFFFF"/>
        </w:rPr>
        <w:t>放宽住所（经营场所）登记条件，经营者通过电子商务类平台开展经营活动的，可以使用平台提供的网络经营场所申请个体工商户登记。指导督促地方开展“一照多址”改革探索，进一步简化平台企业分支机构设立手续。放宽新兴行业企业名称登记限制，允许使用反映新业态特征的字词作为企业名称。推进经营范围登记规范化，及时将反映新业态特征的经营范围表述纳入登记范围。</w:t>
      </w:r>
      <w:r>
        <w:rPr>
          <w:rFonts w:hint="eastAsia" w:ascii="楷体" w:hAnsi="楷体" w:eastAsia="楷体" w:cs="楷体"/>
          <w:i w:val="0"/>
          <w:caps w:val="0"/>
          <w:color w:val="333333"/>
          <w:spacing w:val="0"/>
          <w:sz w:val="19"/>
          <w:szCs w:val="19"/>
          <w:shd w:val="clear" w:fill="FFFFFF"/>
        </w:rPr>
        <w:t>（市场监管总局负责）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楷体" w:hAnsi="楷体" w:eastAsia="楷体" w:cs="楷体"/>
          <w:i w:val="0"/>
          <w:caps w:val="0"/>
          <w:color w:val="333333"/>
          <w:spacing w:val="0"/>
          <w:sz w:val="19"/>
          <w:szCs w:val="19"/>
          <w:shd w:val="clear" w:fill="FFFFFF"/>
        </w:rPr>
        <w:t>（二）合理设置行业准入规定和许可。</w:t>
      </w:r>
      <w:r>
        <w:rPr>
          <w:rFonts w:hint="eastAsia" w:ascii="宋体" w:hAnsi="宋体" w:eastAsia="宋体" w:cs="宋体"/>
          <w:i w:val="0"/>
          <w:caps w:val="0"/>
          <w:color w:val="333333"/>
          <w:spacing w:val="0"/>
          <w:sz w:val="19"/>
          <w:szCs w:val="19"/>
          <w:shd w:val="clear" w:fill="FFFFFF"/>
        </w:rPr>
        <w:t>放宽融合性产品和服务准入限制，只要不违反法律法规，均应允许相关市场主体进入。清理和规范制约平台经济健康发展的行政许可、资质资格等事项，对仅提供信息中介和交易撮合服务的平台，除直接涉及人身健康、公共安全、社会稳定和国家政策另有规定的金融、新闻等领域外，原则上不要求比照平台内经营者办理相关业务许可。</w:t>
      </w:r>
      <w:r>
        <w:rPr>
          <w:rFonts w:hint="eastAsia" w:ascii="楷体" w:hAnsi="楷体" w:eastAsia="楷体" w:cs="楷体"/>
          <w:i w:val="0"/>
          <w:caps w:val="0"/>
          <w:color w:val="333333"/>
          <w:spacing w:val="0"/>
          <w:sz w:val="19"/>
          <w:szCs w:val="19"/>
          <w:shd w:val="clear" w:fill="FFFFFF"/>
        </w:rPr>
        <w:t>（各相关部门按职责分别负责）</w:t>
      </w:r>
      <w:r>
        <w:rPr>
          <w:rFonts w:hint="eastAsia" w:ascii="宋体" w:hAnsi="宋体" w:eastAsia="宋体" w:cs="宋体"/>
          <w:i w:val="0"/>
          <w:caps w:val="0"/>
          <w:color w:val="333333"/>
          <w:spacing w:val="0"/>
          <w:sz w:val="19"/>
          <w:szCs w:val="19"/>
          <w:shd w:val="clear" w:fill="FFFFFF"/>
        </w:rPr>
        <w:t>指导督促有关地方评估网约车、旅游民宿等领域的政策落实情况，优化完善准入条件、审批流程和服务，加快平台经济参与者合规化进程。</w:t>
      </w:r>
      <w:r>
        <w:rPr>
          <w:rFonts w:hint="eastAsia" w:ascii="楷体" w:hAnsi="楷体" w:eastAsia="楷体" w:cs="楷体"/>
          <w:i w:val="0"/>
          <w:caps w:val="0"/>
          <w:color w:val="333333"/>
          <w:spacing w:val="0"/>
          <w:sz w:val="19"/>
          <w:szCs w:val="19"/>
          <w:shd w:val="clear" w:fill="FFFFFF"/>
        </w:rPr>
        <w:t>（交通运输部、文化和旅游部等相关部门按职责分别负责）</w:t>
      </w:r>
      <w:r>
        <w:rPr>
          <w:rFonts w:hint="eastAsia" w:ascii="宋体" w:hAnsi="宋体" w:eastAsia="宋体" w:cs="宋体"/>
          <w:i w:val="0"/>
          <w:caps w:val="0"/>
          <w:color w:val="333333"/>
          <w:spacing w:val="0"/>
          <w:sz w:val="19"/>
          <w:szCs w:val="19"/>
          <w:shd w:val="clear" w:fill="FFFFFF"/>
        </w:rPr>
        <w:t>对仍处于发展初期、有利于促进新旧动能转换的新兴行业，要给予先行先试机会，审慎出台市场准入政策。</w:t>
      </w:r>
      <w:r>
        <w:rPr>
          <w:rFonts w:hint="eastAsia" w:ascii="楷体" w:hAnsi="楷体" w:eastAsia="楷体" w:cs="楷体"/>
          <w:i w:val="0"/>
          <w:caps w:val="0"/>
          <w:color w:val="333333"/>
          <w:spacing w:val="0"/>
          <w:sz w:val="19"/>
          <w:szCs w:val="19"/>
          <w:shd w:val="clear" w:fill="FFFFFF"/>
        </w:rPr>
        <w:t>（各地区、各部门负责）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楷体" w:hAnsi="楷体" w:eastAsia="楷体" w:cs="楷体"/>
          <w:i w:val="0"/>
          <w:caps w:val="0"/>
          <w:color w:val="333333"/>
          <w:spacing w:val="0"/>
          <w:sz w:val="19"/>
          <w:szCs w:val="19"/>
          <w:shd w:val="clear" w:fill="FFFFFF"/>
        </w:rPr>
        <w:t>（三）加快完善新业态标准体系。</w:t>
      </w:r>
      <w:r>
        <w:rPr>
          <w:rFonts w:hint="eastAsia" w:ascii="宋体" w:hAnsi="宋体" w:eastAsia="宋体" w:cs="宋体"/>
          <w:i w:val="0"/>
          <w:caps w:val="0"/>
          <w:color w:val="333333"/>
          <w:spacing w:val="0"/>
          <w:sz w:val="19"/>
          <w:szCs w:val="19"/>
          <w:shd w:val="clear" w:fill="FFFFFF"/>
        </w:rPr>
        <w:t>对部分缺乏标准的新兴行业，要及时制定出台相关产品和服务标准，为新产品新服务进入市场提供保障。对一些发展相对成熟的新业态，要鼓励龙头企业和行业协会主动制定企业标准，参与制定行业标准，提升产品质量和服务水平。</w:t>
      </w:r>
      <w:r>
        <w:rPr>
          <w:rFonts w:hint="eastAsia" w:ascii="楷体" w:hAnsi="楷体" w:eastAsia="楷体" w:cs="楷体"/>
          <w:i w:val="0"/>
          <w:caps w:val="0"/>
          <w:color w:val="333333"/>
          <w:spacing w:val="0"/>
          <w:sz w:val="19"/>
          <w:szCs w:val="19"/>
          <w:shd w:val="clear" w:fill="FFFFFF"/>
        </w:rPr>
        <w:t>（市场监管总局牵头，各相关部门按职责分别负责）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二、创新监管理念和方式，实行包容审慎监管</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楷体" w:hAnsi="楷体" w:eastAsia="楷体" w:cs="楷体"/>
          <w:i w:val="0"/>
          <w:caps w:val="0"/>
          <w:color w:val="333333"/>
          <w:spacing w:val="0"/>
          <w:sz w:val="19"/>
          <w:szCs w:val="19"/>
          <w:shd w:val="clear" w:fill="FFFFFF"/>
        </w:rPr>
        <w:t>（一）探索适应新业态特点、有利于公平竞争的公正监管办法。</w:t>
      </w:r>
      <w:r>
        <w:rPr>
          <w:rFonts w:hint="eastAsia" w:ascii="宋体" w:hAnsi="宋体" w:eastAsia="宋体" w:cs="宋体"/>
          <w:i w:val="0"/>
          <w:caps w:val="0"/>
          <w:color w:val="333333"/>
          <w:spacing w:val="0"/>
          <w:sz w:val="19"/>
          <w:szCs w:val="19"/>
          <w:shd w:val="clear" w:fill="FFFFFF"/>
        </w:rPr>
        <w:t>本着鼓励创新的原则，分领域制定监管规则和标准，在严守安全底线的前提下为新业态发展留足空间。对看得准、已经形成较好发展势头的，分类量身定制适当的监管模式，避免用老办法管理新业态；对一时看不准的，设置一定的“观察期”，防止一上来就管死；对潜在风险大、可能造成严重不良后果的，严格监管；对非法经营的，坚决依法予以取缔。各有关部门要依法依规夯实监管责任，优化机构监管，强化行为监管，及时预警风险隐患，发现和纠正违法违规行为。</w:t>
      </w:r>
      <w:r>
        <w:rPr>
          <w:rFonts w:hint="eastAsia" w:ascii="楷体" w:hAnsi="楷体" w:eastAsia="楷体" w:cs="楷体"/>
          <w:i w:val="0"/>
          <w:caps w:val="0"/>
          <w:color w:val="333333"/>
          <w:spacing w:val="0"/>
          <w:sz w:val="19"/>
          <w:szCs w:val="19"/>
          <w:shd w:val="clear" w:fill="FFFFFF"/>
        </w:rPr>
        <w:t>（发展改革委、中央网信办、工业和信息化部、市场监管总局、公安部等相关部门及各地区按职责分别负责）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楷体" w:hAnsi="楷体" w:eastAsia="楷体" w:cs="楷体"/>
          <w:i w:val="0"/>
          <w:caps w:val="0"/>
          <w:color w:val="333333"/>
          <w:spacing w:val="0"/>
          <w:sz w:val="19"/>
          <w:szCs w:val="19"/>
          <w:shd w:val="clear" w:fill="FFFFFF"/>
        </w:rPr>
        <w:t>（二）科学合理界定平台责任。</w:t>
      </w:r>
      <w:r>
        <w:rPr>
          <w:rFonts w:hint="eastAsia" w:ascii="宋体" w:hAnsi="宋体" w:eastAsia="宋体" w:cs="宋体"/>
          <w:i w:val="0"/>
          <w:caps w:val="0"/>
          <w:color w:val="333333"/>
          <w:spacing w:val="0"/>
          <w:sz w:val="19"/>
          <w:szCs w:val="19"/>
          <w:shd w:val="clear" w:fill="FFFFFF"/>
        </w:rPr>
        <w:t>明确平台在经营者信息核验、产品和服务质量、平台（含APP）索权、消费者权益保护、网络安全、数据安全、劳动者权益保护等方面的相应责任，强化政府部门监督执法职责，不得将本该由政府承担的监管责任转嫁给平台。尊重消费者选择权，确保跨平台互联互通和互操作。允许平台在合规经营前提下探索不同经营模式，明确平台与平台内经营者的责任，加快研究出台平台尽职免责的具体办法，依法合理确定平台承担的责任。鼓励平台通过购买保险产品分散风险，更好保障各方权益。</w:t>
      </w:r>
      <w:r>
        <w:rPr>
          <w:rFonts w:hint="eastAsia" w:ascii="楷体" w:hAnsi="楷体" w:eastAsia="楷体" w:cs="楷体"/>
          <w:i w:val="0"/>
          <w:caps w:val="0"/>
          <w:color w:val="333333"/>
          <w:spacing w:val="0"/>
          <w:sz w:val="19"/>
          <w:szCs w:val="19"/>
          <w:shd w:val="clear" w:fill="FFFFFF"/>
        </w:rPr>
        <w:t>（各相关部门按职责分别负责）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楷体" w:hAnsi="楷体" w:eastAsia="楷体" w:cs="楷体"/>
          <w:i w:val="0"/>
          <w:caps w:val="0"/>
          <w:color w:val="333333"/>
          <w:spacing w:val="0"/>
          <w:sz w:val="19"/>
          <w:szCs w:val="19"/>
          <w:shd w:val="clear" w:fill="FFFFFF"/>
        </w:rPr>
        <w:t>（三）维护公平竞争市场秩序。</w:t>
      </w:r>
      <w:r>
        <w:rPr>
          <w:rFonts w:hint="eastAsia" w:ascii="宋体" w:hAnsi="宋体" w:eastAsia="宋体" w:cs="宋体"/>
          <w:i w:val="0"/>
          <w:caps w:val="0"/>
          <w:color w:val="333333"/>
          <w:spacing w:val="0"/>
          <w:sz w:val="19"/>
          <w:szCs w:val="19"/>
          <w:shd w:val="clear" w:fill="FFFFFF"/>
        </w:rPr>
        <w:t>制定出台网络交易监督管理有关规定，依法查处互联网领域滥用市场支配地位限制交易、不正当竞争等违法行为，严禁平台单边签订排他性服务提供合同，保障平台经济相关市场主体公平参与市场竞争。维护市场价格秩序，针对互联网领域价格违法行为特点制定监管措施，规范平台和平台内经营者价格标示、价格促销等行为，引导企业合法合规经营。</w:t>
      </w:r>
      <w:r>
        <w:rPr>
          <w:rFonts w:hint="eastAsia" w:ascii="楷体" w:hAnsi="楷体" w:eastAsia="楷体" w:cs="楷体"/>
          <w:i w:val="0"/>
          <w:caps w:val="0"/>
          <w:color w:val="333333"/>
          <w:spacing w:val="0"/>
          <w:sz w:val="19"/>
          <w:szCs w:val="19"/>
          <w:shd w:val="clear" w:fill="FFFFFF"/>
        </w:rPr>
        <w:t>（市场监管总局负责）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楷体" w:hAnsi="楷体" w:eastAsia="楷体" w:cs="楷体"/>
          <w:i w:val="0"/>
          <w:caps w:val="0"/>
          <w:color w:val="333333"/>
          <w:spacing w:val="0"/>
          <w:sz w:val="19"/>
          <w:szCs w:val="19"/>
          <w:shd w:val="clear" w:fill="FFFFFF"/>
        </w:rPr>
        <w:t>（四）建立健全协同监管机制。</w:t>
      </w:r>
      <w:r>
        <w:rPr>
          <w:rFonts w:hint="eastAsia" w:ascii="宋体" w:hAnsi="宋体" w:eastAsia="宋体" w:cs="宋体"/>
          <w:i w:val="0"/>
          <w:caps w:val="0"/>
          <w:color w:val="333333"/>
          <w:spacing w:val="0"/>
          <w:sz w:val="19"/>
          <w:szCs w:val="19"/>
          <w:shd w:val="clear" w:fill="FFFFFF"/>
        </w:rPr>
        <w:t>适应新业态跨行业、跨区域的特点，加强监管部门协同、区域协同和央地协同，充分发挥“互联网+”行动、网络市场监管、消费者权益保护、交通运输新业态协同监管等部际联席会议机制作用，提高监管效能。</w:t>
      </w:r>
      <w:r>
        <w:rPr>
          <w:rFonts w:hint="eastAsia" w:ascii="楷体" w:hAnsi="楷体" w:eastAsia="楷体" w:cs="楷体"/>
          <w:i w:val="0"/>
          <w:caps w:val="0"/>
          <w:color w:val="333333"/>
          <w:spacing w:val="0"/>
          <w:sz w:val="19"/>
          <w:szCs w:val="19"/>
          <w:shd w:val="clear" w:fill="FFFFFF"/>
        </w:rPr>
        <w:t>（发展改革委、市场监管总局、交通运输部等相关部门按职责分别负责）</w:t>
      </w:r>
      <w:r>
        <w:rPr>
          <w:rFonts w:hint="eastAsia" w:ascii="宋体" w:hAnsi="宋体" w:eastAsia="宋体" w:cs="宋体"/>
          <w:i w:val="0"/>
          <w:caps w:val="0"/>
          <w:color w:val="333333"/>
          <w:spacing w:val="0"/>
          <w:sz w:val="19"/>
          <w:szCs w:val="19"/>
          <w:shd w:val="clear" w:fill="FFFFFF"/>
        </w:rPr>
        <w:t>加大对跨区域网络案件查办协调力度，加强信息互换、执法互助，形成监管合力。鼓励行业协会商会等社会组织出台行业服务规范和自律公约，开展纠纷处理和信用评价，构建多元共治的监管格局。</w:t>
      </w:r>
      <w:r>
        <w:rPr>
          <w:rFonts w:hint="eastAsia" w:ascii="楷体" w:hAnsi="楷体" w:eastAsia="楷体" w:cs="楷体"/>
          <w:i w:val="0"/>
          <w:caps w:val="0"/>
          <w:color w:val="333333"/>
          <w:spacing w:val="0"/>
          <w:sz w:val="19"/>
          <w:szCs w:val="19"/>
          <w:shd w:val="clear" w:fill="FFFFFF"/>
        </w:rPr>
        <w:t>（各地区、各相关部门按职责分别负责）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楷体" w:hAnsi="楷体" w:eastAsia="楷体" w:cs="楷体"/>
          <w:i w:val="0"/>
          <w:caps w:val="0"/>
          <w:color w:val="333333"/>
          <w:spacing w:val="0"/>
          <w:sz w:val="19"/>
          <w:szCs w:val="19"/>
          <w:shd w:val="clear" w:fill="FFFFFF"/>
        </w:rPr>
        <w:t>（五）积极推进“互联网+监管”。</w:t>
      </w:r>
      <w:r>
        <w:rPr>
          <w:rFonts w:hint="eastAsia" w:ascii="宋体" w:hAnsi="宋体" w:eastAsia="宋体" w:cs="宋体"/>
          <w:i w:val="0"/>
          <w:caps w:val="0"/>
          <w:color w:val="333333"/>
          <w:spacing w:val="0"/>
          <w:sz w:val="19"/>
          <w:szCs w:val="19"/>
          <w:shd w:val="clear" w:fill="FFFFFF"/>
        </w:rPr>
        <w:t>依托国家“互联网+监管”等系统，推动监管平台与企业平台联通，加强交易、支付、物流、出行等第三方数据分析比对，开展信息监测、在线证据保全、在线识别、源头追溯，增强对行业风险和违法违规线索的发现识别能力，实现以网管网、线上线下一体化监管。</w:t>
      </w:r>
      <w:r>
        <w:rPr>
          <w:rFonts w:hint="eastAsia" w:ascii="楷体" w:hAnsi="楷体" w:eastAsia="楷体" w:cs="楷体"/>
          <w:i w:val="0"/>
          <w:caps w:val="0"/>
          <w:color w:val="333333"/>
          <w:spacing w:val="0"/>
          <w:sz w:val="19"/>
          <w:szCs w:val="19"/>
          <w:shd w:val="clear" w:fill="FFFFFF"/>
        </w:rPr>
        <w:t>（国务院办公厅、市场监管总局等相关部门按职责分别负责）</w:t>
      </w:r>
      <w:r>
        <w:rPr>
          <w:rFonts w:hint="eastAsia" w:ascii="宋体" w:hAnsi="宋体" w:eastAsia="宋体" w:cs="宋体"/>
          <w:i w:val="0"/>
          <w:caps w:val="0"/>
          <w:color w:val="333333"/>
          <w:spacing w:val="0"/>
          <w:sz w:val="19"/>
          <w:szCs w:val="19"/>
          <w:shd w:val="clear" w:fill="FFFFFF"/>
        </w:rPr>
        <w:t>根据平台信用等级和风险类型，实施差异化监管，对风险较低、信用较好的适当减少检查频次，对风险较高、信用较差的加大检查频次和力度。</w:t>
      </w:r>
      <w:r>
        <w:rPr>
          <w:rFonts w:hint="eastAsia" w:ascii="楷体" w:hAnsi="楷体" w:eastAsia="楷体" w:cs="楷体"/>
          <w:i w:val="0"/>
          <w:caps w:val="0"/>
          <w:color w:val="333333"/>
          <w:spacing w:val="0"/>
          <w:sz w:val="19"/>
          <w:szCs w:val="19"/>
          <w:shd w:val="clear" w:fill="FFFFFF"/>
        </w:rPr>
        <w:t>（各相关部门按职责分别负责）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三、鼓励发展平台经济新业态，加快培育新的增长点</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楷体" w:hAnsi="楷体" w:eastAsia="楷体" w:cs="楷体"/>
          <w:i w:val="0"/>
          <w:caps w:val="0"/>
          <w:color w:val="333333"/>
          <w:spacing w:val="0"/>
          <w:sz w:val="19"/>
          <w:szCs w:val="19"/>
          <w:shd w:val="clear" w:fill="FFFFFF"/>
        </w:rPr>
        <w:t>（一）积极发展“互联网+服务业”。</w:t>
      </w:r>
      <w:r>
        <w:rPr>
          <w:rFonts w:hint="eastAsia" w:ascii="宋体" w:hAnsi="宋体" w:eastAsia="宋体" w:cs="宋体"/>
          <w:i w:val="0"/>
          <w:caps w:val="0"/>
          <w:color w:val="333333"/>
          <w:spacing w:val="0"/>
          <w:sz w:val="19"/>
          <w:szCs w:val="19"/>
          <w:shd w:val="clear" w:fill="FFFFFF"/>
        </w:rPr>
        <w:t>支持社会资本进入基于互联网的医疗健康、教育培训、养老家政、文化、旅游、体育等新兴服务领域，改造提升教育医疗等网络基础设施，扩大优质服务供给，满足群众多层次多样化需求。鼓励平台进一步拓展服务范围，加强品牌建设，提升服务品质，发展便民服务新业态，延伸产业链和带动扩大就业。鼓励商品交易市场顺应平台经济发展新趋势、新要求，提升流通创新能力，促进产销更好衔接。</w:t>
      </w:r>
      <w:r>
        <w:rPr>
          <w:rFonts w:hint="eastAsia" w:ascii="楷体" w:hAnsi="楷体" w:eastAsia="楷体" w:cs="楷体"/>
          <w:i w:val="0"/>
          <w:caps w:val="0"/>
          <w:color w:val="333333"/>
          <w:spacing w:val="0"/>
          <w:sz w:val="19"/>
          <w:szCs w:val="19"/>
          <w:shd w:val="clear" w:fill="FFFFFF"/>
        </w:rPr>
        <w:t>（教育部、民政部、商务部、文化和旅游部、卫生健康委、体育总局、工业和信息化部等相关部门按职责分别负责）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楷体" w:hAnsi="楷体" w:eastAsia="楷体" w:cs="楷体"/>
          <w:i w:val="0"/>
          <w:caps w:val="0"/>
          <w:color w:val="333333"/>
          <w:spacing w:val="0"/>
          <w:sz w:val="19"/>
          <w:szCs w:val="19"/>
          <w:shd w:val="clear" w:fill="FFFFFF"/>
        </w:rPr>
        <w:t>（二）大力发展“互联网+生产”。</w:t>
      </w:r>
      <w:r>
        <w:rPr>
          <w:rFonts w:hint="eastAsia" w:ascii="宋体" w:hAnsi="宋体" w:eastAsia="宋体" w:cs="宋体"/>
          <w:i w:val="0"/>
          <w:caps w:val="0"/>
          <w:color w:val="333333"/>
          <w:spacing w:val="0"/>
          <w:sz w:val="19"/>
          <w:szCs w:val="19"/>
          <w:shd w:val="clear" w:fill="FFFFFF"/>
        </w:rPr>
        <w:t>适应产业升级需要，推动互联网平台与工业、农业生产深度融合，提升生产技术，提高创新服务能力，在实体经济中大力推广应用物联网、大数据，促进数字经济和数字产业发展，深入推进智能制造和服务型制造。深入推进工业互联网创新发展，加快跨行业、跨领域和企业级工业互联网平台建设及应用普及，实现各类生产设备与信息系统的广泛互联互通，推进制造资源、数据等集成共享，促进一二三产业、大中小企业融通发展。</w:t>
      </w:r>
      <w:r>
        <w:rPr>
          <w:rFonts w:hint="eastAsia" w:ascii="楷体" w:hAnsi="楷体" w:eastAsia="楷体" w:cs="楷体"/>
          <w:i w:val="0"/>
          <w:caps w:val="0"/>
          <w:color w:val="333333"/>
          <w:spacing w:val="0"/>
          <w:sz w:val="19"/>
          <w:szCs w:val="19"/>
          <w:shd w:val="clear" w:fill="FFFFFF"/>
        </w:rPr>
        <w:t>（工业和信息化部、农业农村部等相关部门按职责分别负责）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楷体" w:hAnsi="楷体" w:eastAsia="楷体" w:cs="楷体"/>
          <w:i w:val="0"/>
          <w:caps w:val="0"/>
          <w:color w:val="333333"/>
          <w:spacing w:val="0"/>
          <w:sz w:val="19"/>
          <w:szCs w:val="19"/>
          <w:shd w:val="clear" w:fill="FFFFFF"/>
        </w:rPr>
        <w:t>（三）深入推进“互联网+创业创新”。</w:t>
      </w:r>
      <w:r>
        <w:rPr>
          <w:rFonts w:hint="eastAsia" w:ascii="宋体" w:hAnsi="宋体" w:eastAsia="宋体" w:cs="宋体"/>
          <w:i w:val="0"/>
          <w:caps w:val="0"/>
          <w:color w:val="333333"/>
          <w:spacing w:val="0"/>
          <w:sz w:val="19"/>
          <w:szCs w:val="19"/>
          <w:shd w:val="clear" w:fill="FFFFFF"/>
        </w:rPr>
        <w:t>加快打造“双创”升级版，依托互联网平台完善全方位创业创新服务体系，实现线上线下良性互动、创业创新资源有机结合，鼓励平台开展创新任务众包，更多向中小企业开放共享资源，支撑中小企业开展技术、产品、管理模式、商业模式等创新，进一步提升创业创新效能。</w:t>
      </w:r>
      <w:r>
        <w:rPr>
          <w:rFonts w:hint="eastAsia" w:ascii="楷体" w:hAnsi="楷体" w:eastAsia="楷体" w:cs="楷体"/>
          <w:i w:val="0"/>
          <w:caps w:val="0"/>
          <w:color w:val="333333"/>
          <w:spacing w:val="0"/>
          <w:sz w:val="19"/>
          <w:szCs w:val="19"/>
          <w:shd w:val="clear" w:fill="FFFFFF"/>
        </w:rPr>
        <w:t>（发展改革委牵头，各相关部门按职责分别负责）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楷体" w:hAnsi="楷体" w:eastAsia="楷体" w:cs="楷体"/>
          <w:i w:val="0"/>
          <w:caps w:val="0"/>
          <w:color w:val="333333"/>
          <w:spacing w:val="0"/>
          <w:sz w:val="19"/>
          <w:szCs w:val="19"/>
          <w:shd w:val="clear" w:fill="FFFFFF"/>
        </w:rPr>
        <w:t>（四）加强网络支撑能力建设。</w:t>
      </w:r>
      <w:r>
        <w:rPr>
          <w:rFonts w:hint="eastAsia" w:ascii="宋体" w:hAnsi="宋体" w:eastAsia="宋体" w:cs="宋体"/>
          <w:i w:val="0"/>
          <w:caps w:val="0"/>
          <w:color w:val="333333"/>
          <w:spacing w:val="0"/>
          <w:sz w:val="19"/>
          <w:szCs w:val="19"/>
          <w:shd w:val="clear" w:fill="FFFFFF"/>
        </w:rPr>
        <w:t>深入实施“宽带中国”战略，加快5G等新一代信息基础设施建设，优化提升网络性能和速率，推进下一代互联网、广播电视网、物联网建设，进一步降低中小企业宽带平均资费水平，为平台经济发展提供有力支撑。</w:t>
      </w:r>
      <w:r>
        <w:rPr>
          <w:rFonts w:hint="eastAsia" w:ascii="楷体" w:hAnsi="楷体" w:eastAsia="楷体" w:cs="楷体"/>
          <w:i w:val="0"/>
          <w:caps w:val="0"/>
          <w:color w:val="333333"/>
          <w:spacing w:val="0"/>
          <w:sz w:val="19"/>
          <w:szCs w:val="19"/>
          <w:shd w:val="clear" w:fill="FFFFFF"/>
        </w:rPr>
        <w:t>（工业和信息化部、发展改革委等相关部门按职责分别负责）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四、优化平台经济发展环境，夯实新业态成长基础</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楷体" w:hAnsi="楷体" w:eastAsia="楷体" w:cs="楷体"/>
          <w:i w:val="0"/>
          <w:caps w:val="0"/>
          <w:color w:val="333333"/>
          <w:spacing w:val="0"/>
          <w:sz w:val="19"/>
          <w:szCs w:val="19"/>
          <w:shd w:val="clear" w:fill="FFFFFF"/>
        </w:rPr>
        <w:t>（一）加强政府部门与平台数据共享。</w:t>
      </w:r>
      <w:r>
        <w:rPr>
          <w:rFonts w:hint="eastAsia" w:ascii="宋体" w:hAnsi="宋体" w:eastAsia="宋体" w:cs="宋体"/>
          <w:i w:val="0"/>
          <w:caps w:val="0"/>
          <w:color w:val="333333"/>
          <w:spacing w:val="0"/>
          <w:sz w:val="19"/>
          <w:szCs w:val="19"/>
          <w:shd w:val="clear" w:fill="FFFFFF"/>
        </w:rPr>
        <w:t>依托全国一体化在线政务服务平台、国家“互联网+监管”系统、国家数据共享交换平台、全国信用信息共享平台和国家企业信用信息公示系统，进一步归集市场主体基本信息和各类涉企许可信息，力争2019年上线运行全国一体化在线政务服务平台电子证照共享服务系统，为平台依法依规核验经营者、其他参与方的资质信息提供服务保障。</w:t>
      </w:r>
      <w:r>
        <w:rPr>
          <w:rFonts w:hint="eastAsia" w:ascii="楷体" w:hAnsi="楷体" w:eastAsia="楷体" w:cs="楷体"/>
          <w:i w:val="0"/>
          <w:caps w:val="0"/>
          <w:color w:val="333333"/>
          <w:spacing w:val="0"/>
          <w:sz w:val="19"/>
          <w:szCs w:val="19"/>
          <w:shd w:val="clear" w:fill="FFFFFF"/>
        </w:rPr>
        <w:t>（国务院办公厅、发展改革委、市场监管总局按职责分别负责）</w:t>
      </w:r>
      <w:r>
        <w:rPr>
          <w:rFonts w:hint="eastAsia" w:ascii="宋体" w:hAnsi="宋体" w:eastAsia="宋体" w:cs="宋体"/>
          <w:i w:val="0"/>
          <w:caps w:val="0"/>
          <w:color w:val="333333"/>
          <w:spacing w:val="0"/>
          <w:sz w:val="19"/>
          <w:szCs w:val="19"/>
          <w:shd w:val="clear" w:fill="FFFFFF"/>
        </w:rPr>
        <w:t>加强部门间数据共享，防止各级政府部门多头向平台索要数据。</w:t>
      </w:r>
      <w:r>
        <w:rPr>
          <w:rFonts w:hint="eastAsia" w:ascii="楷体" w:hAnsi="楷体" w:eastAsia="楷体" w:cs="楷体"/>
          <w:i w:val="0"/>
          <w:caps w:val="0"/>
          <w:color w:val="333333"/>
          <w:spacing w:val="0"/>
          <w:sz w:val="19"/>
          <w:szCs w:val="19"/>
          <w:shd w:val="clear" w:fill="FFFFFF"/>
        </w:rPr>
        <w:t>（发展改革委、中央网信办、市场监管总局、国务院办公厅等相关部门按职责分别负责）</w:t>
      </w:r>
      <w:r>
        <w:rPr>
          <w:rFonts w:hint="eastAsia" w:ascii="宋体" w:hAnsi="宋体" w:eastAsia="宋体" w:cs="宋体"/>
          <w:i w:val="0"/>
          <w:caps w:val="0"/>
          <w:color w:val="333333"/>
          <w:spacing w:val="0"/>
          <w:sz w:val="19"/>
          <w:szCs w:val="19"/>
          <w:shd w:val="clear" w:fill="FFFFFF"/>
        </w:rPr>
        <w:t>畅通政企数据双向流通机制，制定发布政府数据开放清单，探索建立数据资源确权、流通、交易、应用开发规则和流程，加强数据隐私保护和安全管理。</w:t>
      </w:r>
      <w:r>
        <w:rPr>
          <w:rFonts w:hint="eastAsia" w:ascii="楷体" w:hAnsi="楷体" w:eastAsia="楷体" w:cs="楷体"/>
          <w:i w:val="0"/>
          <w:caps w:val="0"/>
          <w:color w:val="333333"/>
          <w:spacing w:val="0"/>
          <w:sz w:val="19"/>
          <w:szCs w:val="19"/>
          <w:shd w:val="clear" w:fill="FFFFFF"/>
        </w:rPr>
        <w:t>（发展改革委、中央网信办等相关部门及各地区按职责分别负责）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楷体" w:hAnsi="楷体" w:eastAsia="楷体" w:cs="楷体"/>
          <w:i w:val="0"/>
          <w:caps w:val="0"/>
          <w:color w:val="333333"/>
          <w:spacing w:val="0"/>
          <w:sz w:val="19"/>
          <w:szCs w:val="19"/>
          <w:shd w:val="clear" w:fill="FFFFFF"/>
        </w:rPr>
        <w:t>（二）推动完善社会信用体系。</w:t>
      </w:r>
      <w:r>
        <w:rPr>
          <w:rFonts w:hint="eastAsia" w:ascii="宋体" w:hAnsi="宋体" w:eastAsia="宋体" w:cs="宋体"/>
          <w:i w:val="0"/>
          <w:caps w:val="0"/>
          <w:color w:val="333333"/>
          <w:spacing w:val="0"/>
          <w:sz w:val="19"/>
          <w:szCs w:val="19"/>
          <w:shd w:val="clear" w:fill="FFFFFF"/>
        </w:rPr>
        <w:t>加大全国信用信息共享平台开放力度，依法将可公开的信用信息与相关企业共享，支持平台提升管理水平。利用平台数据补充完善现有信用体系信息，加强对平台内失信主体的约束和惩戒。</w:t>
      </w:r>
      <w:r>
        <w:rPr>
          <w:rFonts w:hint="eastAsia" w:ascii="楷体" w:hAnsi="楷体" w:eastAsia="楷体" w:cs="楷体"/>
          <w:i w:val="0"/>
          <w:caps w:val="0"/>
          <w:color w:val="333333"/>
          <w:spacing w:val="0"/>
          <w:sz w:val="19"/>
          <w:szCs w:val="19"/>
          <w:shd w:val="clear" w:fill="FFFFFF"/>
        </w:rPr>
        <w:t>（发展改革委、市场监管总局负责）</w:t>
      </w:r>
      <w:r>
        <w:rPr>
          <w:rFonts w:hint="eastAsia" w:ascii="宋体" w:hAnsi="宋体" w:eastAsia="宋体" w:cs="宋体"/>
          <w:i w:val="0"/>
          <w:caps w:val="0"/>
          <w:color w:val="333333"/>
          <w:spacing w:val="0"/>
          <w:sz w:val="19"/>
          <w:szCs w:val="19"/>
          <w:shd w:val="clear" w:fill="FFFFFF"/>
        </w:rPr>
        <w:t>完善新业态信用体系，在网约车、共享单车、汽车分时租赁等领域，建立健全身份认证、双向评价、信用管理等机制，规范平台经济参与者行为。</w:t>
      </w:r>
      <w:r>
        <w:rPr>
          <w:rFonts w:hint="eastAsia" w:ascii="楷体" w:hAnsi="楷体" w:eastAsia="楷体" w:cs="楷体"/>
          <w:i w:val="0"/>
          <w:caps w:val="0"/>
          <w:color w:val="333333"/>
          <w:spacing w:val="0"/>
          <w:sz w:val="19"/>
          <w:szCs w:val="19"/>
          <w:shd w:val="clear" w:fill="FFFFFF"/>
        </w:rPr>
        <w:t>（发展改革委、交通运输部等相关部门按职责分别负责）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楷体" w:hAnsi="楷体" w:eastAsia="楷体" w:cs="楷体"/>
          <w:i w:val="0"/>
          <w:caps w:val="0"/>
          <w:color w:val="333333"/>
          <w:spacing w:val="0"/>
          <w:sz w:val="19"/>
          <w:szCs w:val="19"/>
          <w:shd w:val="clear" w:fill="FFFFFF"/>
        </w:rPr>
        <w:t>（三）营造良好的政策环境。</w:t>
      </w:r>
      <w:r>
        <w:rPr>
          <w:rFonts w:hint="eastAsia" w:ascii="宋体" w:hAnsi="宋体" w:eastAsia="宋体" w:cs="宋体"/>
          <w:i w:val="0"/>
          <w:caps w:val="0"/>
          <w:color w:val="333333"/>
          <w:spacing w:val="0"/>
          <w:sz w:val="19"/>
          <w:szCs w:val="19"/>
          <w:shd w:val="clear" w:fill="FFFFFF"/>
        </w:rPr>
        <w:t>各地区各部门要充分听取平台经济参与者的诉求，有针对性地研究提出解决措施，为平台创新发展和吸纳就业提供有力保障。</w:t>
      </w:r>
      <w:r>
        <w:rPr>
          <w:rFonts w:hint="eastAsia" w:ascii="楷体" w:hAnsi="楷体" w:eastAsia="楷体" w:cs="楷体"/>
          <w:i w:val="0"/>
          <w:caps w:val="0"/>
          <w:color w:val="333333"/>
          <w:spacing w:val="0"/>
          <w:sz w:val="19"/>
          <w:szCs w:val="19"/>
          <w:shd w:val="clear" w:fill="FFFFFF"/>
        </w:rPr>
        <w:t>（各地区、各部门负责）</w:t>
      </w:r>
      <w:r>
        <w:rPr>
          <w:rFonts w:hint="eastAsia" w:ascii="宋体" w:hAnsi="宋体" w:eastAsia="宋体" w:cs="宋体"/>
          <w:i w:val="0"/>
          <w:caps w:val="0"/>
          <w:color w:val="333333"/>
          <w:spacing w:val="0"/>
          <w:sz w:val="19"/>
          <w:szCs w:val="19"/>
          <w:shd w:val="clear" w:fill="FFFFFF"/>
        </w:rPr>
        <w:t>2019年底前建成全国统一的电子发票公共服务平台，提供免费的增值税电子普通发票开具服务，加快研究推进增值税专用发票电子化工作。</w:t>
      </w:r>
      <w:r>
        <w:rPr>
          <w:rFonts w:hint="eastAsia" w:ascii="楷体" w:hAnsi="楷体" w:eastAsia="楷体" w:cs="楷体"/>
          <w:i w:val="0"/>
          <w:caps w:val="0"/>
          <w:color w:val="333333"/>
          <w:spacing w:val="0"/>
          <w:sz w:val="19"/>
          <w:szCs w:val="19"/>
          <w:shd w:val="clear" w:fill="FFFFFF"/>
        </w:rPr>
        <w:t>（税务总局负责）</w:t>
      </w:r>
      <w:r>
        <w:rPr>
          <w:rFonts w:hint="eastAsia" w:ascii="宋体" w:hAnsi="宋体" w:eastAsia="宋体" w:cs="宋体"/>
          <w:i w:val="0"/>
          <w:caps w:val="0"/>
          <w:color w:val="333333"/>
          <w:spacing w:val="0"/>
          <w:sz w:val="19"/>
          <w:szCs w:val="19"/>
          <w:shd w:val="clear" w:fill="FFFFFF"/>
        </w:rPr>
        <w:t>尽快制定电子商务法实施中的有关信息公示、零星小额交易等配套规则。</w:t>
      </w:r>
      <w:r>
        <w:rPr>
          <w:rFonts w:hint="eastAsia" w:ascii="楷体" w:hAnsi="楷体" w:eastAsia="楷体" w:cs="楷体"/>
          <w:i w:val="0"/>
          <w:caps w:val="0"/>
          <w:color w:val="333333"/>
          <w:spacing w:val="0"/>
          <w:sz w:val="19"/>
          <w:szCs w:val="19"/>
          <w:shd w:val="clear" w:fill="FFFFFF"/>
        </w:rPr>
        <w:t>（商务部、市场监管总局、司法部按职责分别负责）</w:t>
      </w:r>
      <w:r>
        <w:rPr>
          <w:rFonts w:hint="eastAsia" w:ascii="宋体" w:hAnsi="宋体" w:eastAsia="宋体" w:cs="宋体"/>
          <w:i w:val="0"/>
          <w:caps w:val="0"/>
          <w:color w:val="333333"/>
          <w:spacing w:val="0"/>
          <w:sz w:val="19"/>
          <w:szCs w:val="19"/>
          <w:shd w:val="clear" w:fill="FFFFFF"/>
        </w:rPr>
        <w:t>鼓励银行业金融机构基于互联网和大数据等技术手段，创新发展适应平台经济相关企业融资需求的金融产品和服务，为平台经济发展提供支持。允许有实力有条件的互联网平台申请保险兼业代理资质。</w:t>
      </w:r>
      <w:r>
        <w:rPr>
          <w:rFonts w:hint="eastAsia" w:ascii="楷体" w:hAnsi="楷体" w:eastAsia="楷体" w:cs="楷体"/>
          <w:i w:val="0"/>
          <w:caps w:val="0"/>
          <w:color w:val="333333"/>
          <w:spacing w:val="0"/>
          <w:sz w:val="19"/>
          <w:szCs w:val="19"/>
          <w:shd w:val="clear" w:fill="FFFFFF"/>
        </w:rPr>
        <w:t>（银保监会等相关部门按职责分别负责）</w:t>
      </w:r>
      <w:r>
        <w:rPr>
          <w:rFonts w:hint="eastAsia" w:ascii="宋体" w:hAnsi="宋体" w:eastAsia="宋体" w:cs="宋体"/>
          <w:i w:val="0"/>
          <w:caps w:val="0"/>
          <w:color w:val="333333"/>
          <w:spacing w:val="0"/>
          <w:sz w:val="19"/>
          <w:szCs w:val="19"/>
          <w:shd w:val="clear" w:fill="FFFFFF"/>
        </w:rPr>
        <w:t>推动平台经济监管与服务的国际交流合作，加强政策沟通，为平台企业走出去创造良好外部条件。</w:t>
      </w:r>
      <w:r>
        <w:rPr>
          <w:rFonts w:hint="eastAsia" w:ascii="楷体" w:hAnsi="楷体" w:eastAsia="楷体" w:cs="楷体"/>
          <w:i w:val="0"/>
          <w:caps w:val="0"/>
          <w:color w:val="333333"/>
          <w:spacing w:val="0"/>
          <w:sz w:val="19"/>
          <w:szCs w:val="19"/>
          <w:shd w:val="clear" w:fill="FFFFFF"/>
        </w:rPr>
        <w:t>（商务部等相关部门按职责分别负责）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五、切实保护平台经济参与者合法权益，强化平台经济发展法治保障</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楷体" w:hAnsi="楷体" w:eastAsia="楷体" w:cs="楷体"/>
          <w:i w:val="0"/>
          <w:caps w:val="0"/>
          <w:color w:val="333333"/>
          <w:spacing w:val="0"/>
          <w:sz w:val="19"/>
          <w:szCs w:val="19"/>
          <w:shd w:val="clear" w:fill="FFFFFF"/>
        </w:rPr>
        <w:t>（一）保护平台、平台内经营者和平台从业人员等权益。</w:t>
      </w:r>
      <w:r>
        <w:rPr>
          <w:rFonts w:hint="eastAsia" w:ascii="宋体" w:hAnsi="宋体" w:eastAsia="宋体" w:cs="宋体"/>
          <w:i w:val="0"/>
          <w:caps w:val="0"/>
          <w:color w:val="333333"/>
          <w:spacing w:val="0"/>
          <w:sz w:val="19"/>
          <w:szCs w:val="19"/>
          <w:shd w:val="clear" w:fill="FFFFFF"/>
        </w:rPr>
        <w:t>督促平台按照公开、公平、公正的原则，建立健全交易规则和服务协议，明确进入和退出平台、商品和服务质量安全保障、平台从业人员权益保护、消费者权益保护等规定。</w:t>
      </w:r>
      <w:r>
        <w:rPr>
          <w:rFonts w:hint="eastAsia" w:ascii="楷体" w:hAnsi="楷体" w:eastAsia="楷体" w:cs="楷体"/>
          <w:i w:val="0"/>
          <w:caps w:val="0"/>
          <w:color w:val="333333"/>
          <w:spacing w:val="0"/>
          <w:sz w:val="19"/>
          <w:szCs w:val="19"/>
          <w:shd w:val="clear" w:fill="FFFFFF"/>
        </w:rPr>
        <w:t>（商务部、市场监管总局牵头，各相关部门按职责分别负责）</w:t>
      </w:r>
      <w:r>
        <w:rPr>
          <w:rFonts w:hint="eastAsia" w:ascii="宋体" w:hAnsi="宋体" w:eastAsia="宋体" w:cs="宋体"/>
          <w:i w:val="0"/>
          <w:caps w:val="0"/>
          <w:color w:val="333333"/>
          <w:spacing w:val="0"/>
          <w:sz w:val="19"/>
          <w:szCs w:val="19"/>
          <w:shd w:val="clear" w:fill="FFFFFF"/>
        </w:rPr>
        <w:t>抓紧研究完善平台企业用工和灵活就业等从业人员社保政策，开展职业伤害保障试点，积极推进全民参保计划，引导更多平台从业人员参保。加强对平台从业人员的职业技能培训，将其纳入职业技能提升行动。</w:t>
      </w:r>
      <w:r>
        <w:rPr>
          <w:rFonts w:hint="eastAsia" w:ascii="楷体" w:hAnsi="楷体" w:eastAsia="楷体" w:cs="楷体"/>
          <w:i w:val="0"/>
          <w:caps w:val="0"/>
          <w:color w:val="333333"/>
          <w:spacing w:val="0"/>
          <w:sz w:val="19"/>
          <w:szCs w:val="19"/>
          <w:shd w:val="clear" w:fill="FFFFFF"/>
        </w:rPr>
        <w:t>（人力资源社会保障部负责）</w:t>
      </w:r>
      <w:r>
        <w:rPr>
          <w:rFonts w:hint="eastAsia" w:ascii="宋体" w:hAnsi="宋体" w:eastAsia="宋体" w:cs="宋体"/>
          <w:i w:val="0"/>
          <w:caps w:val="0"/>
          <w:color w:val="333333"/>
          <w:spacing w:val="0"/>
          <w:sz w:val="19"/>
          <w:szCs w:val="19"/>
          <w:shd w:val="clear" w:fill="FFFFFF"/>
        </w:rPr>
        <w:t>强化知识产权保护意识。依法打击网络欺诈行为和以“打假”为名的敲诈勒索行为。</w:t>
      </w:r>
      <w:r>
        <w:rPr>
          <w:rFonts w:hint="eastAsia" w:ascii="楷体" w:hAnsi="楷体" w:eastAsia="楷体" w:cs="楷体"/>
          <w:i w:val="0"/>
          <w:caps w:val="0"/>
          <w:color w:val="333333"/>
          <w:spacing w:val="0"/>
          <w:sz w:val="19"/>
          <w:szCs w:val="19"/>
          <w:shd w:val="clear" w:fill="FFFFFF"/>
        </w:rPr>
        <w:t>（市场监管总局、知识产权局按职责分别负责）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楷体" w:hAnsi="楷体" w:eastAsia="楷体" w:cs="楷体"/>
          <w:i w:val="0"/>
          <w:caps w:val="0"/>
          <w:color w:val="333333"/>
          <w:spacing w:val="0"/>
          <w:sz w:val="19"/>
          <w:szCs w:val="19"/>
          <w:shd w:val="clear" w:fill="FFFFFF"/>
        </w:rPr>
        <w:t>（二）加强平台经济领域消费者权益保护。</w:t>
      </w:r>
      <w:r>
        <w:rPr>
          <w:rFonts w:hint="eastAsia" w:ascii="宋体" w:hAnsi="宋体" w:eastAsia="宋体" w:cs="宋体"/>
          <w:i w:val="0"/>
          <w:caps w:val="0"/>
          <w:color w:val="333333"/>
          <w:spacing w:val="0"/>
          <w:sz w:val="19"/>
          <w:szCs w:val="19"/>
          <w:shd w:val="clear" w:fill="FFFFFF"/>
        </w:rPr>
        <w:t>督促平台建立健全消费者投诉和举报机制，公开投诉举报电话，确保投诉举报电话有人接听，建立与市场监管部门投诉举报平台的信息共享机制，及时受理并处理投诉举报，鼓励行业组织依法依规建立消费者投诉和维权第三方平台。鼓励平台建立争议在线解决机制，制定并公示争议解决规则。依法严厉打击泄露和滥用用户信息等损害消费者权益行为。</w:t>
      </w:r>
      <w:r>
        <w:rPr>
          <w:rFonts w:hint="eastAsia" w:ascii="楷体" w:hAnsi="楷体" w:eastAsia="楷体" w:cs="楷体"/>
          <w:i w:val="0"/>
          <w:caps w:val="0"/>
          <w:color w:val="333333"/>
          <w:spacing w:val="0"/>
          <w:sz w:val="19"/>
          <w:szCs w:val="19"/>
          <w:shd w:val="clear" w:fill="FFFFFF"/>
        </w:rPr>
        <w:t>（市场监管总局等相关部门按职责分别负责）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楷体" w:hAnsi="楷体" w:eastAsia="楷体" w:cs="楷体"/>
          <w:i w:val="0"/>
          <w:caps w:val="0"/>
          <w:color w:val="333333"/>
          <w:spacing w:val="0"/>
          <w:sz w:val="19"/>
          <w:szCs w:val="19"/>
          <w:shd w:val="clear" w:fill="FFFFFF"/>
        </w:rPr>
        <w:t>（三）完善平台经济相关法律法规。</w:t>
      </w:r>
      <w:r>
        <w:rPr>
          <w:rFonts w:hint="eastAsia" w:ascii="宋体" w:hAnsi="宋体" w:eastAsia="宋体" w:cs="宋体"/>
          <w:i w:val="0"/>
          <w:caps w:val="0"/>
          <w:color w:val="333333"/>
          <w:spacing w:val="0"/>
          <w:sz w:val="19"/>
          <w:szCs w:val="19"/>
          <w:shd w:val="clear" w:fill="FFFFFF"/>
        </w:rPr>
        <w:t>及时推动修订不适应平台经济发展的相关法律法规与政策规定，加快破除制约平台经济发展的体制机制障碍。</w:t>
      </w:r>
      <w:r>
        <w:rPr>
          <w:rFonts w:hint="eastAsia" w:ascii="楷体" w:hAnsi="楷体" w:eastAsia="楷体" w:cs="楷体"/>
          <w:i w:val="0"/>
          <w:caps w:val="0"/>
          <w:color w:val="333333"/>
          <w:spacing w:val="0"/>
          <w:sz w:val="19"/>
          <w:szCs w:val="19"/>
          <w:shd w:val="clear" w:fill="FFFFFF"/>
        </w:rPr>
        <w:t>（司法部等相关部门按职责分别负责）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涉及金融领域的互联网平台，其金融业务的市场准入管理和事中事后监管，按照法律法规和有关规定执行。设立金融机构、从事金融活动、提供金融信息中介和交易撮合服务，必须依法接受准入管理。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各地区、各部门要充分认识促进平台经济规范健康发展的重要意义，按照职责分工抓好贯彻落实，压实工作责任，完善工作机制，密切协作配合，切实解决平台经济发展面临的突出问题，推动各项政策措施及时落地见效，重大情况及时报国务院。</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19"/>
          <w:szCs w:val="19"/>
          <w:shd w:val="clear" w:fill="FFFFFF"/>
        </w:rPr>
      </w:pPr>
      <w:r>
        <w:rPr>
          <w:rFonts w:hint="eastAsia" w:ascii="宋体" w:hAnsi="宋体" w:eastAsia="宋体" w:cs="宋体"/>
          <w:i w:val="0"/>
          <w:caps w:val="0"/>
          <w:color w:val="333333"/>
          <w:spacing w:val="0"/>
          <w:sz w:val="19"/>
          <w:szCs w:val="19"/>
          <w:shd w:val="clear" w:fill="FFFFFF"/>
        </w:rPr>
        <w:t>国务院办公厅</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19"/>
          <w:szCs w:val="19"/>
          <w:shd w:val="clear" w:fill="FFFFFF"/>
        </w:rPr>
      </w:pPr>
      <w:r>
        <w:rPr>
          <w:rFonts w:hint="eastAsia" w:ascii="宋体" w:hAnsi="宋体" w:eastAsia="宋体" w:cs="宋体"/>
          <w:i w:val="0"/>
          <w:caps w:val="0"/>
          <w:color w:val="333333"/>
          <w:spacing w:val="0"/>
          <w:sz w:val="19"/>
          <w:szCs w:val="19"/>
          <w:shd w:val="clear" w:fill="FFFFFF"/>
        </w:rPr>
        <w:t>2019年8月1日</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19"/>
          <w:szCs w:val="19"/>
          <w:shd w:val="clear"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19"/>
          <w:szCs w:val="19"/>
          <w:shd w:val="clear"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19"/>
          <w:szCs w:val="19"/>
          <w:shd w:val="clear"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19"/>
          <w:szCs w:val="19"/>
          <w:shd w:val="clear" w:fill="FFFFFF"/>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i w:val="0"/>
          <w:caps w:val="0"/>
          <w:color w:val="333333"/>
          <w:spacing w:val="0"/>
          <w:sz w:val="36"/>
          <w:szCs w:val="36"/>
          <w:shd w:val="clear" w:fill="FFFFFF"/>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i w:val="0"/>
          <w:caps w:val="0"/>
          <w:color w:val="333333"/>
          <w:spacing w:val="0"/>
          <w:sz w:val="36"/>
          <w:szCs w:val="36"/>
          <w:shd w:val="clear" w:fill="FFFFFF"/>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宋体" w:hAnsi="宋体" w:eastAsia="宋体" w:cs="宋体"/>
          <w:i w:val="0"/>
          <w:caps w:val="0"/>
          <w:color w:val="333333"/>
          <w:spacing w:val="0"/>
          <w:sz w:val="30"/>
          <w:szCs w:val="30"/>
        </w:rPr>
      </w:pPr>
      <w:bookmarkStart w:id="49" w:name="_Toc19803"/>
      <w:r>
        <w:rPr>
          <w:rFonts w:hint="eastAsia" w:ascii="宋体" w:hAnsi="宋体" w:eastAsia="宋体" w:cs="宋体"/>
          <w:b/>
          <w:i w:val="0"/>
          <w:caps w:val="0"/>
          <w:color w:val="333333"/>
          <w:spacing w:val="0"/>
          <w:sz w:val="30"/>
          <w:szCs w:val="30"/>
          <w:shd w:val="clear" w:fill="FFFFFF"/>
        </w:rPr>
        <w:t>国务院办公厅关于印发全国深化</w:t>
      </w:r>
      <w:bookmarkEnd w:id="49"/>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宋体" w:hAnsi="宋体" w:eastAsia="宋体" w:cs="宋体"/>
          <w:i w:val="0"/>
          <w:caps w:val="0"/>
          <w:color w:val="333333"/>
          <w:spacing w:val="0"/>
          <w:sz w:val="30"/>
          <w:szCs w:val="30"/>
        </w:rPr>
      </w:pPr>
      <w:bookmarkStart w:id="50" w:name="_Toc26342"/>
      <w:bookmarkStart w:id="51" w:name="_Toc25308"/>
      <w:bookmarkStart w:id="52" w:name="_Toc12902"/>
      <w:r>
        <w:rPr>
          <w:rFonts w:hint="eastAsia" w:ascii="宋体" w:hAnsi="宋体" w:eastAsia="宋体" w:cs="宋体"/>
          <w:b/>
          <w:i w:val="0"/>
          <w:caps w:val="0"/>
          <w:color w:val="333333"/>
          <w:spacing w:val="0"/>
          <w:sz w:val="30"/>
          <w:szCs w:val="30"/>
          <w:shd w:val="clear" w:fill="FFFFFF"/>
        </w:rPr>
        <w:t>“放管服”改革优化营商环境电视电话会议</w:t>
      </w:r>
      <w:bookmarkEnd w:id="50"/>
      <w:bookmarkEnd w:id="51"/>
      <w:bookmarkEnd w:id="52"/>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宋体" w:hAnsi="宋体" w:eastAsia="宋体" w:cs="宋体"/>
          <w:i w:val="0"/>
          <w:caps w:val="0"/>
          <w:color w:val="333333"/>
          <w:spacing w:val="0"/>
          <w:sz w:val="30"/>
          <w:szCs w:val="30"/>
        </w:rPr>
      </w:pPr>
      <w:bookmarkStart w:id="53" w:name="_Toc20532"/>
      <w:bookmarkStart w:id="54" w:name="_Toc28445"/>
      <w:bookmarkStart w:id="55" w:name="_Toc25689"/>
      <w:bookmarkStart w:id="56" w:name="_Toc15530"/>
      <w:r>
        <w:rPr>
          <w:rFonts w:hint="eastAsia" w:ascii="宋体" w:hAnsi="宋体" w:eastAsia="宋体" w:cs="宋体"/>
          <w:b/>
          <w:i w:val="0"/>
          <w:caps w:val="0"/>
          <w:color w:val="333333"/>
          <w:spacing w:val="0"/>
          <w:sz w:val="30"/>
          <w:szCs w:val="30"/>
          <w:shd w:val="clear" w:fill="FFFFFF"/>
        </w:rPr>
        <w:t>重点任务分工方案的通知</w:t>
      </w:r>
      <w:bookmarkEnd w:id="53"/>
      <w:bookmarkEnd w:id="54"/>
      <w:bookmarkEnd w:id="55"/>
      <w:bookmarkEnd w:id="56"/>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宋体" w:hAnsi="宋体" w:eastAsia="宋体" w:cs="宋体"/>
          <w:i w:val="0"/>
          <w:caps w:val="0"/>
          <w:color w:val="333333"/>
          <w:spacing w:val="0"/>
          <w:sz w:val="24"/>
          <w:szCs w:val="24"/>
        </w:rPr>
      </w:pPr>
      <w:bookmarkStart w:id="57" w:name="_Toc19170"/>
      <w:r>
        <w:rPr>
          <w:rFonts w:ascii="楷体" w:hAnsi="楷体" w:eastAsia="楷体" w:cs="楷体"/>
          <w:i w:val="0"/>
          <w:caps w:val="0"/>
          <w:color w:val="333333"/>
          <w:spacing w:val="0"/>
          <w:sz w:val="24"/>
          <w:szCs w:val="24"/>
          <w:shd w:val="clear" w:fill="FFFFFF"/>
        </w:rPr>
        <w:t>国办发〔2019〕39号</w:t>
      </w:r>
      <w:bookmarkEnd w:id="57"/>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各省、自治区、直辖市人民政府，国务院各部委、各直属机构：</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《全国深化“放管服”改革优化营商环境电视电话会议重点任务分工方案》已经国务院同意，现印发给你们，请结合实际认真贯彻落实。</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19"/>
          <w:szCs w:val="19"/>
          <w:shd w:val="clear" w:fill="FFFFFF"/>
        </w:rPr>
      </w:pPr>
      <w:r>
        <w:rPr>
          <w:rFonts w:hint="eastAsia" w:ascii="宋体" w:hAnsi="宋体" w:eastAsia="宋体" w:cs="宋体"/>
          <w:i w:val="0"/>
          <w:caps w:val="0"/>
          <w:color w:val="333333"/>
          <w:spacing w:val="0"/>
          <w:sz w:val="19"/>
          <w:szCs w:val="19"/>
          <w:shd w:val="clear" w:fill="FFFFFF"/>
        </w:rPr>
        <w:t>国务院办公厅</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2019年8月1日 </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（此件公开发布）</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36"/>
          <w:szCs w:val="36"/>
          <w:shd w:val="clear" w:fill="FFFFFF"/>
        </w:rPr>
        <w:t>全国深化“放管服”改革优化营商环境</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36"/>
          <w:szCs w:val="36"/>
          <w:shd w:val="clear" w:fill="FFFFFF"/>
        </w:rPr>
        <w:t>电视电话会议重点任务分工方案</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党中央、国务院高度重视深化“放管服”改革、优化营商环境工作。2019年6月25日，李克强总理在全国深化“放管服”改革优化营商环境电视电话会议上发表重要讲话，部署深化“放管服”改革，加快打造市场化法治化国际化营商环境。为确保会议确定的重点任务落到实处，现制定如下分工方案。</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一、推动简政放权向纵深发展，进一步放出活力</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（一）进一步放宽市场准入，缩减市场准入负面清单事项，清单之外不得另设门槛和隐性限制。</w:t>
      </w:r>
      <w:r>
        <w:rPr>
          <w:rFonts w:hint="eastAsia" w:ascii="楷体" w:hAnsi="楷体" w:eastAsia="楷体" w:cs="楷体"/>
          <w:i w:val="0"/>
          <w:caps w:val="0"/>
          <w:color w:val="333333"/>
          <w:spacing w:val="0"/>
          <w:sz w:val="19"/>
          <w:szCs w:val="19"/>
          <w:shd w:val="clear" w:fill="FFFFFF"/>
        </w:rPr>
        <w:t>（发展改革委、商务部牵头，国务院相关部门及各地区按职责分工负责）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具体措施：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1.2019年9月底前修订形成新版市场准入负面清单，缩减清单事项，以服务业为重点试点进一步放宽市场准入限制。推行“全国一张清单”管理模式，建立全国统一的清单代码体系，严禁各地区、各部门自行发布市场准入性质的负面清单。</w:t>
      </w:r>
      <w:r>
        <w:rPr>
          <w:rFonts w:hint="eastAsia" w:ascii="楷体" w:hAnsi="楷体" w:eastAsia="楷体" w:cs="楷体"/>
          <w:i w:val="0"/>
          <w:caps w:val="0"/>
          <w:color w:val="333333"/>
          <w:spacing w:val="0"/>
          <w:sz w:val="19"/>
          <w:szCs w:val="19"/>
          <w:shd w:val="clear" w:fill="FFFFFF"/>
        </w:rPr>
        <w:t>（发展改革委、商务部负责）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2.2019年修订《公平竞争审查制度实施细则（暂行）》，组织各地区、各部门完成存量文件专项清理，修改、废止一批不利于公平竞争的政策措施，加快研究制定实施竞争政策的指导意见。</w:t>
      </w:r>
      <w:r>
        <w:rPr>
          <w:rFonts w:hint="eastAsia" w:ascii="楷体" w:hAnsi="楷体" w:eastAsia="楷体" w:cs="楷体"/>
          <w:i w:val="0"/>
          <w:caps w:val="0"/>
          <w:color w:val="333333"/>
          <w:spacing w:val="0"/>
          <w:sz w:val="19"/>
          <w:szCs w:val="19"/>
          <w:shd w:val="clear" w:fill="FFFFFF"/>
        </w:rPr>
        <w:t>（市场监管总局牵头，各地区、各部门负责）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3.2019年9月底前部署开展招投标领域专项整治，全面清理各级政府及有关部门规章、行政规范性文件和其他政策措施中对民营、外资企业投标设置不合理限制和壁垒的规定，纠正并查处一批不合理限制或排斥潜在投标人等违法违规行为。</w:t>
      </w:r>
      <w:r>
        <w:rPr>
          <w:rFonts w:hint="eastAsia" w:ascii="楷体" w:hAnsi="楷体" w:eastAsia="楷体" w:cs="楷体"/>
          <w:i w:val="0"/>
          <w:caps w:val="0"/>
          <w:color w:val="333333"/>
          <w:spacing w:val="0"/>
          <w:sz w:val="19"/>
          <w:szCs w:val="19"/>
          <w:shd w:val="clear" w:fill="FFFFFF"/>
        </w:rPr>
        <w:t>（发展改革委等国务院相关部门按职责分工负责）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4.加强对各地区、各部门政府采购活动的指导和监管，清理政府采购领域妨碍统一市场与公平竞争的规定和做法。</w:t>
      </w:r>
      <w:r>
        <w:rPr>
          <w:rFonts w:hint="eastAsia" w:ascii="楷体" w:hAnsi="楷体" w:eastAsia="楷体" w:cs="楷体"/>
          <w:i w:val="0"/>
          <w:caps w:val="0"/>
          <w:color w:val="333333"/>
          <w:spacing w:val="0"/>
          <w:sz w:val="19"/>
          <w:szCs w:val="19"/>
          <w:shd w:val="clear" w:fill="FFFFFF"/>
        </w:rPr>
        <w:t>（财政部、市场监管总局负责）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（二）继续压减中央和地方层面设定的行政许可事项。2019年内中央层面再取消下放一批行政许可事项。对保留的许可事项要逐项明确许可范围、条件和环节等，能简化的都要尽量简化。</w:t>
      </w:r>
      <w:r>
        <w:rPr>
          <w:rFonts w:hint="eastAsia" w:ascii="楷体" w:hAnsi="楷体" w:eastAsia="楷体" w:cs="楷体"/>
          <w:i w:val="0"/>
          <w:caps w:val="0"/>
          <w:color w:val="333333"/>
          <w:spacing w:val="0"/>
          <w:sz w:val="19"/>
          <w:szCs w:val="19"/>
          <w:shd w:val="clear" w:fill="FFFFFF"/>
        </w:rPr>
        <w:t>（国务院办公厅牵头，各地区、各部门负责）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具体措施：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1.2019年底前研究提出50项以上拟取消下放和改变管理方式的行政许可事项，清理简并多部门、多层级实施的重复审批。编制公布中央层面设定的行政许可事项清单，逐项简化并明确许可范围、许可条件、许可有效期限等，细化审批标准、办理程序和时限等要求。</w:t>
      </w:r>
      <w:r>
        <w:rPr>
          <w:rFonts w:hint="eastAsia" w:ascii="楷体" w:hAnsi="楷体" w:eastAsia="楷体" w:cs="楷体"/>
          <w:i w:val="0"/>
          <w:caps w:val="0"/>
          <w:color w:val="333333"/>
          <w:spacing w:val="0"/>
          <w:sz w:val="19"/>
          <w:szCs w:val="19"/>
          <w:shd w:val="clear" w:fill="FFFFFF"/>
        </w:rPr>
        <w:t>（国务院办公厅牵头，国务院相关部门按职责分工负责）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2.组织清理规范地方层面设定的行政许可事项，2019年底前以省为单位集中统一公布地方层面设定的行政许可事项清单。</w:t>
      </w:r>
      <w:r>
        <w:rPr>
          <w:rFonts w:hint="eastAsia" w:ascii="楷体" w:hAnsi="楷体" w:eastAsia="楷体" w:cs="楷体"/>
          <w:i w:val="0"/>
          <w:caps w:val="0"/>
          <w:color w:val="333333"/>
          <w:spacing w:val="0"/>
          <w:sz w:val="19"/>
          <w:szCs w:val="19"/>
          <w:shd w:val="clear" w:fill="FFFFFF"/>
        </w:rPr>
        <w:t>（国务院办公厅牵头，各地区负责）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3.深化交通运输领域简政放权。简化道路客运经营许可事项和申请材料，精简道路货运从业驾驶员培训考试。优化机动车产品准入，依法整合汽车产品公告、强制性产品认证、环保型式核准目录、道路运输车辆燃料消耗量达标车型公告等，实现一次送检、全面检测、结果互认。2019年底前形成货车“三检合一”实施方案。</w:t>
      </w:r>
      <w:r>
        <w:rPr>
          <w:rFonts w:hint="eastAsia" w:ascii="楷体" w:hAnsi="楷体" w:eastAsia="楷体" w:cs="楷体"/>
          <w:i w:val="0"/>
          <w:caps w:val="0"/>
          <w:color w:val="333333"/>
          <w:spacing w:val="0"/>
          <w:sz w:val="19"/>
          <w:szCs w:val="19"/>
          <w:shd w:val="clear" w:fill="FFFFFF"/>
        </w:rPr>
        <w:t>（发展改革委、公安部、交通运输部、生态环境部、工业和信息化部、市场监管总局按职责分工负责）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（三）继续压减工业产品生产许可证，2019年把许可证种类再压减一半以上。</w:t>
      </w:r>
      <w:r>
        <w:rPr>
          <w:rFonts w:hint="eastAsia" w:ascii="楷体" w:hAnsi="楷体" w:eastAsia="楷体" w:cs="楷体"/>
          <w:i w:val="0"/>
          <w:caps w:val="0"/>
          <w:color w:val="333333"/>
          <w:spacing w:val="0"/>
          <w:sz w:val="19"/>
          <w:szCs w:val="19"/>
          <w:shd w:val="clear" w:fill="FFFFFF"/>
        </w:rPr>
        <w:t>（市场监管总局负责）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具体措施：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1.进一步调整工业产品生产许可证管理目录，2019年9月底前将发证产品种类从24类压减至12类以内，压缩发证层级，减少产品单元。对保留和退出目录的产品都要制定加强事中事后监管的措施。</w:t>
      </w:r>
      <w:r>
        <w:rPr>
          <w:rFonts w:hint="eastAsia" w:ascii="楷体" w:hAnsi="楷体" w:eastAsia="楷体" w:cs="楷体"/>
          <w:i w:val="0"/>
          <w:caps w:val="0"/>
          <w:color w:val="333333"/>
          <w:spacing w:val="0"/>
          <w:sz w:val="19"/>
          <w:szCs w:val="19"/>
          <w:shd w:val="clear" w:fill="FFFFFF"/>
        </w:rPr>
        <w:t>（市场监管总局负责）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2.2019年10月底前将强制性产品认证目录再压减30种以上，继续扩大“自我声明”评价方式实施范围，简化强制性认证管理程序，减少认证证书种类数量。</w:t>
      </w:r>
      <w:r>
        <w:rPr>
          <w:rFonts w:hint="eastAsia" w:ascii="楷体" w:hAnsi="楷体" w:eastAsia="楷体" w:cs="楷体"/>
          <w:i w:val="0"/>
          <w:caps w:val="0"/>
          <w:color w:val="333333"/>
          <w:spacing w:val="0"/>
          <w:sz w:val="19"/>
          <w:szCs w:val="19"/>
          <w:shd w:val="clear" w:fill="FFFFFF"/>
        </w:rPr>
        <w:t>（市场监管总局负责）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3.推动检验检测认证机构与政府部门彻底脱钩，鼓励社会资本进入检验检测认证市场。清理检验检测行政许可，实施统一的资质认定管理，加快实现检验检测认证结果在不同部门、层级和地区间互认通用，避免重复评价。</w:t>
      </w:r>
      <w:r>
        <w:rPr>
          <w:rFonts w:hint="eastAsia" w:ascii="楷体" w:hAnsi="楷体" w:eastAsia="楷体" w:cs="楷体"/>
          <w:i w:val="0"/>
          <w:caps w:val="0"/>
          <w:color w:val="333333"/>
          <w:spacing w:val="0"/>
          <w:sz w:val="19"/>
          <w:szCs w:val="19"/>
          <w:shd w:val="clear" w:fill="FFFFFF"/>
        </w:rPr>
        <w:t>（市场监管总局牵头，国务院相关部门按职责分工负责）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（四）大力清理简并种类过多、划分过细的资质资格许可事项。</w:t>
      </w:r>
      <w:r>
        <w:rPr>
          <w:rFonts w:hint="eastAsia" w:ascii="楷体" w:hAnsi="楷体" w:eastAsia="楷体" w:cs="楷体"/>
          <w:i w:val="0"/>
          <w:caps w:val="0"/>
          <w:color w:val="333333"/>
          <w:spacing w:val="0"/>
          <w:sz w:val="19"/>
          <w:szCs w:val="19"/>
          <w:shd w:val="clear" w:fill="FFFFFF"/>
        </w:rPr>
        <w:t>（人力资源社会保障部、自然资源部、住房城乡建设部、交通运输部等国务院相关部门按职责分工负责）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具体措施：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1.推动技能人员水平评价类职业资格分批调整退出国家职业资格目录，2019年底前建立完善职业技能等级制度，推动实现由用人单位和第三方机构开展职业技能等级认定、颁发职业技能等级证书，政府不再颁发职业技能等级证书。对涉及国家安全、公共安全、生态环境安全、人身健康、生命财产安全的水平评价类职业资格，确需实施准入管理的，依照法定程序调整为准入类职业资格。2020年底前将国家职业资格数量再压减一半以上。</w:t>
      </w:r>
      <w:r>
        <w:rPr>
          <w:rFonts w:hint="eastAsia" w:ascii="楷体" w:hAnsi="楷体" w:eastAsia="楷体" w:cs="楷体"/>
          <w:i w:val="0"/>
          <w:caps w:val="0"/>
          <w:color w:val="333333"/>
          <w:spacing w:val="0"/>
          <w:sz w:val="19"/>
          <w:szCs w:val="19"/>
          <w:shd w:val="clear" w:fill="FFFFFF"/>
        </w:rPr>
        <w:t>（人力资源社会保障部牵头，国务院相关部门按职责分工负责）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2.大幅压减企业资质资格认定事项，力争2020年底前将工程建设、测绘等领域企业资质类别、等级压减三分之一以上，凡是能由市场机制调节的一律取消，对保留的事项要精简资质类别、归并等级设置。探索对部分资质资格实行告知承诺管理。</w:t>
      </w:r>
      <w:r>
        <w:rPr>
          <w:rFonts w:hint="eastAsia" w:ascii="楷体" w:hAnsi="楷体" w:eastAsia="楷体" w:cs="楷体"/>
          <w:i w:val="0"/>
          <w:caps w:val="0"/>
          <w:color w:val="333333"/>
          <w:spacing w:val="0"/>
          <w:sz w:val="19"/>
          <w:szCs w:val="19"/>
          <w:shd w:val="clear" w:fill="FFFFFF"/>
        </w:rPr>
        <w:t>（自然资源部、住房城乡建设部、交通运输部、应急部等国务院相关部门按职责分工负责）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（五）整治各类变相审批，摸清备案、登记、年检、认定等部门管理措施的底数，并持续清理压减。对确需保留的实行清单管理，并向社会公开。</w:t>
      </w:r>
      <w:r>
        <w:rPr>
          <w:rFonts w:hint="eastAsia" w:ascii="楷体" w:hAnsi="楷体" w:eastAsia="楷体" w:cs="楷体"/>
          <w:i w:val="0"/>
          <w:caps w:val="0"/>
          <w:color w:val="333333"/>
          <w:spacing w:val="0"/>
          <w:sz w:val="19"/>
          <w:szCs w:val="19"/>
          <w:shd w:val="clear" w:fill="FFFFFF"/>
        </w:rPr>
        <w:t>（国务院办公厅牵头，各地区、各部门负责）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具体措施：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2019年底前启动清理规范中央层面规定的目录、备案、计划、规划、登记、注册、年检、年报、监制、认定、认证、审定等管理措施，依法依规取消变相审批，分类编制事项清单并明确办理规则和流程。2020年6月底前研究提出一批简化、优化的管理措施，改为通过信息共享等方式优化办事流程。</w:t>
      </w:r>
      <w:r>
        <w:rPr>
          <w:rFonts w:hint="eastAsia" w:ascii="楷体" w:hAnsi="楷体" w:eastAsia="楷体" w:cs="楷体"/>
          <w:i w:val="0"/>
          <w:caps w:val="0"/>
          <w:color w:val="333333"/>
          <w:spacing w:val="0"/>
          <w:sz w:val="19"/>
          <w:szCs w:val="19"/>
          <w:shd w:val="clear" w:fill="FFFFFF"/>
        </w:rPr>
        <w:t>（国务院办公厅牵头，国务院相关部门按职责分工负责）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（六）继续推进“证照分离”改革，重点是“照后减证”。</w:t>
      </w:r>
      <w:r>
        <w:rPr>
          <w:rFonts w:hint="eastAsia" w:ascii="楷体" w:hAnsi="楷体" w:eastAsia="楷体" w:cs="楷体"/>
          <w:i w:val="0"/>
          <w:caps w:val="0"/>
          <w:color w:val="333333"/>
          <w:spacing w:val="0"/>
          <w:sz w:val="19"/>
          <w:szCs w:val="19"/>
          <w:shd w:val="clear" w:fill="FFFFFF"/>
        </w:rPr>
        <w:t>（国务院办公厅、市场监管总局、司法部牵头，国务院相关部门按职责分工负责）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具体措施：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2019年底前在自由贸易试验区启动“证照分离”改革全覆盖试点工作，将中央层面和地方层面设定的涉企经营许可事项全部纳入改革范围，通过直接取消审批、审批改为备案、实行告知承诺、优化审批服务等四种方式分类推进改革，2020年下半年在全国推开。</w:t>
      </w:r>
      <w:r>
        <w:rPr>
          <w:rFonts w:hint="eastAsia" w:ascii="楷体" w:hAnsi="楷体" w:eastAsia="楷体" w:cs="楷体"/>
          <w:i w:val="0"/>
          <w:caps w:val="0"/>
          <w:color w:val="333333"/>
          <w:spacing w:val="0"/>
          <w:sz w:val="19"/>
          <w:szCs w:val="19"/>
          <w:shd w:val="clear" w:fill="FFFFFF"/>
        </w:rPr>
        <w:t>（国务院办公厅、市场监管总局、司法部牵头，相关地区及国务院相关部门按职责分工负责）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（七）进一步压减企业开办时间，2019年底前压减到5个工作日以内，有条件的地方要压减到3个工作日以内。</w:t>
      </w:r>
      <w:r>
        <w:rPr>
          <w:rFonts w:hint="eastAsia" w:ascii="楷体" w:hAnsi="楷体" w:eastAsia="楷体" w:cs="楷体"/>
          <w:i w:val="0"/>
          <w:caps w:val="0"/>
          <w:color w:val="333333"/>
          <w:spacing w:val="0"/>
          <w:sz w:val="19"/>
          <w:szCs w:val="19"/>
          <w:shd w:val="clear" w:fill="FFFFFF"/>
        </w:rPr>
        <w:t>（市场监管总局牵头，国务院相关部门及各地区按职责分工负责）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具体措施：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1.加快电子营业执照、电子印章推广应用，简并现场登记环节。推广企业开办全程网上办，鼓励具备条件的地区加快实现开办企业时申领营业执照、刻制印章、申领发票、申领税控设备、社保登记、住房公积金开户登记等全流程网上申请和办理，现场“一窗”、一次领取企业开办全部材料。</w:t>
      </w:r>
      <w:r>
        <w:rPr>
          <w:rFonts w:hint="eastAsia" w:ascii="楷体" w:hAnsi="楷体" w:eastAsia="楷体" w:cs="楷体"/>
          <w:i w:val="0"/>
          <w:caps w:val="0"/>
          <w:color w:val="333333"/>
          <w:spacing w:val="0"/>
          <w:sz w:val="19"/>
          <w:szCs w:val="19"/>
          <w:shd w:val="clear" w:fill="FFFFFF"/>
        </w:rPr>
        <w:t>（市场监管总局牵头，公安部、住房城乡建设部、人力资源社会保障部、税务总局等国务院相关部门及各地区按职责分工负责）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2.2019年底前建成全国统一的电子发票公共服务平台，为纳税人提供免费的电子发票开具服务，加快电子发票的推广应用。尽快研究推进增值税专用发票电子化。2019年底前将纳税人办税事项、纳税时间再压减10%，70%以上办税事项实现一次办结。</w:t>
      </w:r>
      <w:r>
        <w:rPr>
          <w:rFonts w:hint="eastAsia" w:ascii="楷体" w:hAnsi="楷体" w:eastAsia="楷体" w:cs="楷体"/>
          <w:i w:val="0"/>
          <w:caps w:val="0"/>
          <w:color w:val="333333"/>
          <w:spacing w:val="0"/>
          <w:sz w:val="19"/>
          <w:szCs w:val="19"/>
          <w:shd w:val="clear" w:fill="FFFFFF"/>
        </w:rPr>
        <w:t>（税务总局、财政部按职责分工负责）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（八）进一步完善市场主体退出机制，促进优胜劣汰。</w:t>
      </w:r>
      <w:r>
        <w:rPr>
          <w:rFonts w:hint="eastAsia" w:ascii="楷体" w:hAnsi="楷体" w:eastAsia="楷体" w:cs="楷体"/>
          <w:i w:val="0"/>
          <w:caps w:val="0"/>
          <w:color w:val="333333"/>
          <w:spacing w:val="0"/>
          <w:sz w:val="19"/>
          <w:szCs w:val="19"/>
          <w:shd w:val="clear" w:fill="FFFFFF"/>
        </w:rPr>
        <w:t>（发展改革委牵头，国务院相关部门及各地区按职责分工负责）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具体措施：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1.2019年8月底前推动各地建成企业注销网上服务专区，实现企业注销“一网”服务。推行税务注销分类处理，大幅简化社保、商务、海关等注销手续，压缩企业注销时间。推进企业简易注销登记试点，对于被终止简易注销登记的企业，允许其符合条件后再次依程序申请简易注销。</w:t>
      </w:r>
      <w:r>
        <w:rPr>
          <w:rFonts w:hint="eastAsia" w:ascii="楷体" w:hAnsi="楷体" w:eastAsia="楷体" w:cs="楷体"/>
          <w:i w:val="0"/>
          <w:caps w:val="0"/>
          <w:color w:val="333333"/>
          <w:spacing w:val="0"/>
          <w:sz w:val="19"/>
          <w:szCs w:val="19"/>
          <w:shd w:val="clear" w:fill="FFFFFF"/>
        </w:rPr>
        <w:t>（市场监管总局牵头，人力资源社会保障部、商务部、海关总署、税务总局等国务院相关部门及各地区按职责分工负责）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2.推动各地研究建立办理破产工作统一协调机制，统筹推进破产程序中的业务协调、信息共享等工作。研究建立自然人破产制度，重点解决企业破产产生的自然人连带责任担保债务问题。</w:t>
      </w:r>
      <w:r>
        <w:rPr>
          <w:rFonts w:hint="eastAsia" w:ascii="楷体" w:hAnsi="楷体" w:eastAsia="楷体" w:cs="楷体"/>
          <w:i w:val="0"/>
          <w:caps w:val="0"/>
          <w:color w:val="333333"/>
          <w:spacing w:val="0"/>
          <w:sz w:val="19"/>
          <w:szCs w:val="19"/>
          <w:shd w:val="clear" w:fill="FFFFFF"/>
        </w:rPr>
        <w:t>（发展改革委牵头，国务院相关部门及各地区按职责分工负责）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（九）全面开展工程建设项目审批制度改革，压减审批时间和环节，在确保实现将审批时间压减到120个工作日以内的基础上，有条件的地方要进一步压减审批时间。</w:t>
      </w:r>
      <w:r>
        <w:rPr>
          <w:rFonts w:hint="eastAsia" w:ascii="楷体" w:hAnsi="楷体" w:eastAsia="楷体" w:cs="楷体"/>
          <w:i w:val="0"/>
          <w:caps w:val="0"/>
          <w:color w:val="333333"/>
          <w:spacing w:val="0"/>
          <w:sz w:val="19"/>
          <w:szCs w:val="19"/>
          <w:shd w:val="clear" w:fill="FFFFFF"/>
        </w:rPr>
        <w:t>（住房城乡建设部牵头，国务院相关部门及各地区按职责分工负责）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具体措施：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1.继续开展工程建设项目审批制度全流程、全覆盖改革，大力精简工程建设项目审批环节和事项，分类优化审批流程，实施联合审图和联合验收等。在试点地区探索取消施工图审查（或缩小审查范围）、实行告知承诺制和设计人员终身负责制，并加强事中事后监管。2019年底前在东部沿海地区率先实现“互联网+工程审批”，在全国基本实现“一窗受理、并联办理”。</w:t>
      </w:r>
      <w:r>
        <w:rPr>
          <w:rFonts w:hint="eastAsia" w:ascii="楷体" w:hAnsi="楷体" w:eastAsia="楷体" w:cs="楷体"/>
          <w:i w:val="0"/>
          <w:caps w:val="0"/>
          <w:color w:val="333333"/>
          <w:spacing w:val="0"/>
          <w:sz w:val="19"/>
          <w:szCs w:val="19"/>
          <w:shd w:val="clear" w:fill="FFFFFF"/>
        </w:rPr>
        <w:t>（住房城乡建设部牵头，国务院相关部门及各地区按职责分工负责）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2.推进环评制度改革，对不涉及有毒有害及危险品的仓储、物流配送等一批基本不产生生态环境影响的项目，统一不再纳入环评管理。试点对环境影响小、风险可控的项目，简化环评手续或纳入环境影响登记表备案管理，2019年底前将项目环评审批时间压缩至法定时限的一半。</w:t>
      </w:r>
      <w:r>
        <w:rPr>
          <w:rFonts w:hint="eastAsia" w:ascii="楷体" w:hAnsi="楷体" w:eastAsia="楷体" w:cs="楷体"/>
          <w:i w:val="0"/>
          <w:caps w:val="0"/>
          <w:color w:val="333333"/>
          <w:spacing w:val="0"/>
          <w:sz w:val="19"/>
          <w:szCs w:val="19"/>
          <w:shd w:val="clear" w:fill="FFFFFF"/>
        </w:rPr>
        <w:t>（生态环境部牵头，国务院相关部门及各地区按职责分工负责）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3.推进用地规划“多审合一、多证合一”改革，合并用地预审和规划选址，整合建设用地规划许可证、建设用地批准书、国有土地划拨决定书，2019年底前减少用地规划相关证照，压缩办理时限。</w:t>
      </w:r>
      <w:r>
        <w:rPr>
          <w:rFonts w:hint="eastAsia" w:ascii="楷体" w:hAnsi="楷体" w:eastAsia="楷体" w:cs="楷体"/>
          <w:i w:val="0"/>
          <w:caps w:val="0"/>
          <w:color w:val="333333"/>
          <w:spacing w:val="0"/>
          <w:sz w:val="19"/>
          <w:szCs w:val="19"/>
          <w:shd w:val="clear" w:fill="FFFFFF"/>
        </w:rPr>
        <w:t>（自然资源部及各地区按职责分工负责）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（十）治理各种不合理收费，防止地方非税收入非正常增长、抵消减税降费的政策效果，决不能再增加收费项目，确保减税降费的目标落实到位。</w:t>
      </w:r>
      <w:r>
        <w:rPr>
          <w:rFonts w:hint="eastAsia" w:ascii="楷体" w:hAnsi="楷体" w:eastAsia="楷体" w:cs="楷体"/>
          <w:i w:val="0"/>
          <w:caps w:val="0"/>
          <w:color w:val="333333"/>
          <w:spacing w:val="0"/>
          <w:sz w:val="19"/>
          <w:szCs w:val="19"/>
          <w:shd w:val="clear" w:fill="FFFFFF"/>
        </w:rPr>
        <w:t>（财政部、发展改革委、民政部、税务总局、市场监管总局等国务院相关部门及各地区按职责分工负责）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具体措施：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1.2019年9月底前组织开展减税降费政策实施效果监督检查工作，重点关注非税收入增速异常和乱收费等情况，坚决纠正违规开征、多征、预征非税收入的行为，坚决查处乱收费、乱罚款和各种摊派等问题。</w:t>
      </w:r>
      <w:r>
        <w:rPr>
          <w:rFonts w:hint="eastAsia" w:ascii="楷体" w:hAnsi="楷体" w:eastAsia="楷体" w:cs="楷体"/>
          <w:i w:val="0"/>
          <w:caps w:val="0"/>
          <w:color w:val="333333"/>
          <w:spacing w:val="0"/>
          <w:sz w:val="19"/>
          <w:szCs w:val="19"/>
          <w:shd w:val="clear" w:fill="FFFFFF"/>
        </w:rPr>
        <w:t>（财政部负责）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2.治理政府部门下属单位、行业协会商会、中介机构等涉企收费行为，坚决清理整治乱收费和第三方截留减税降费红利行为。动态调整行政事业性收费和实行政府定价的经营服务性收费目录清单，全面公示收费项目、标准和依据。2019年9月底前制定出台进一步加强和改进行业协会商会收费管理的有关文件。</w:t>
      </w:r>
      <w:r>
        <w:rPr>
          <w:rFonts w:hint="eastAsia" w:ascii="楷体" w:hAnsi="楷体" w:eastAsia="楷体" w:cs="楷体"/>
          <w:i w:val="0"/>
          <w:caps w:val="0"/>
          <w:color w:val="333333"/>
          <w:spacing w:val="0"/>
          <w:sz w:val="19"/>
          <w:szCs w:val="19"/>
          <w:shd w:val="clear" w:fill="FFFFFF"/>
        </w:rPr>
        <w:t>（发展改革委、市场监管总局、工业和信息化部、民政部、财政部等国务院相关部门按职责分工负责）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3.降低企业物流成本，督促各地做好口岸收费目录清单公示，整治港口、船公司、物流堆场、货代、船代等乱收费、不合理收费行为，2020年底前将全国单个集装箱进出口环节常规收费压减至400美元以内。清理铁路、水路的货运和客运杂费，降低收费标准，2019年底前公布收费和处罚事项清单。</w:t>
      </w:r>
      <w:r>
        <w:rPr>
          <w:rFonts w:hint="eastAsia" w:ascii="楷体" w:hAnsi="楷体" w:eastAsia="楷体" w:cs="楷体"/>
          <w:i w:val="0"/>
          <w:caps w:val="0"/>
          <w:color w:val="333333"/>
          <w:spacing w:val="0"/>
          <w:sz w:val="19"/>
          <w:szCs w:val="19"/>
          <w:shd w:val="clear" w:fill="FFFFFF"/>
        </w:rPr>
        <w:t>（交通运输部、海关总署、发展改革委、财政部、市场监管总局、铁路局等国务院相关部门及各地区按职责分工负责）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4.2019年底前开展降低融资收费专项清理行动，规范中小企业融资时强制要求办理的担保、保险、评估、公证等事项，减少融资过程中的附加费用。</w:t>
      </w:r>
      <w:r>
        <w:rPr>
          <w:rFonts w:hint="eastAsia" w:ascii="楷体" w:hAnsi="楷体" w:eastAsia="楷体" w:cs="楷体"/>
          <w:i w:val="0"/>
          <w:caps w:val="0"/>
          <w:color w:val="333333"/>
          <w:spacing w:val="0"/>
          <w:sz w:val="19"/>
          <w:szCs w:val="19"/>
          <w:shd w:val="clear" w:fill="FFFFFF"/>
        </w:rPr>
        <w:t>（银保监会牵头，国务院相关部门按职责分工负责）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二、加强公正监管，切实管出公平</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（十一）有关部门要分领域抓紧制订全国统一、简明易行的监管规则和标准，并向全社会公开。抓紧清理规范和修订完善那些边界宽泛、执行弹性大的监管规则和标准。</w:t>
      </w:r>
      <w:r>
        <w:rPr>
          <w:rFonts w:hint="eastAsia" w:ascii="楷体" w:hAnsi="楷体" w:eastAsia="楷体" w:cs="楷体"/>
          <w:i w:val="0"/>
          <w:caps w:val="0"/>
          <w:color w:val="333333"/>
          <w:spacing w:val="0"/>
          <w:sz w:val="19"/>
          <w:szCs w:val="19"/>
          <w:shd w:val="clear" w:fill="FFFFFF"/>
        </w:rPr>
        <w:t>（国务院相关部门按职责分工负责）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具体措施：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1.2019年底前对已取消下放的行政许可事项事中事后监管措施落实情况进行全面评估，按照法律规定和“三定”规定确定的监管职责，进一步明确相应的事中事后监管措施，确保监管全覆盖。</w:t>
      </w:r>
      <w:r>
        <w:rPr>
          <w:rFonts w:hint="eastAsia" w:ascii="楷体" w:hAnsi="楷体" w:eastAsia="楷体" w:cs="楷体"/>
          <w:i w:val="0"/>
          <w:caps w:val="0"/>
          <w:color w:val="333333"/>
          <w:spacing w:val="0"/>
          <w:sz w:val="19"/>
          <w:szCs w:val="19"/>
          <w:shd w:val="clear" w:fill="FFFFFF"/>
        </w:rPr>
        <w:t>（各地区、各部门负责）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2.2019年9月底前制定出台加强和规范事中事后监管的指导意见，落实放管结合、并重的要求，建立健全适合我国高质量发展要求、全覆盖、保障安全的事中事后监管制度。</w:t>
      </w:r>
      <w:r>
        <w:rPr>
          <w:rFonts w:hint="eastAsia" w:ascii="楷体" w:hAnsi="楷体" w:eastAsia="楷体" w:cs="楷体"/>
          <w:i w:val="0"/>
          <w:caps w:val="0"/>
          <w:color w:val="333333"/>
          <w:spacing w:val="0"/>
          <w:sz w:val="19"/>
          <w:szCs w:val="19"/>
          <w:shd w:val="clear" w:fill="FFFFFF"/>
        </w:rPr>
        <w:t>（国务院办公厅、市场监管总局负责）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3.2019年底前对现有的主要监管规则标准进行修订完善，尽可能消除模糊和兜底条款，并依法依规向社会公开。在市场监管、生态环境保护、交通运输、农业农村、文化市场等行政执法领域分别制定规范执法自由裁量权的办法，明确法律依据和处罚标准。</w:t>
      </w:r>
      <w:r>
        <w:rPr>
          <w:rFonts w:hint="eastAsia" w:ascii="楷体" w:hAnsi="楷体" w:eastAsia="楷体" w:cs="楷体"/>
          <w:i w:val="0"/>
          <w:caps w:val="0"/>
          <w:color w:val="333333"/>
          <w:spacing w:val="0"/>
          <w:sz w:val="19"/>
          <w:szCs w:val="19"/>
          <w:shd w:val="clear" w:fill="FFFFFF"/>
        </w:rPr>
        <w:t>（生态环境部、交通运输部、农业农村部、文化和旅游部、市场监管总局等国务院相关部门及各地区按职责分工负责）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4.2019年底前对现有涉企现场检查事项进行全面梳理论证，通过取消、整合、转为非现场检查等方式，压减重复或不必要检查事项，着力解决涉企现场检查事项多、频次高、随意检查等问题。持续清理规范行政处罚事项，对重复处罚、标准不一、上位法已作调整的事项及时进行精简和规范。</w:t>
      </w:r>
      <w:r>
        <w:rPr>
          <w:rFonts w:hint="eastAsia" w:ascii="楷体" w:hAnsi="楷体" w:eastAsia="楷体" w:cs="楷体"/>
          <w:i w:val="0"/>
          <w:caps w:val="0"/>
          <w:color w:val="333333"/>
          <w:spacing w:val="0"/>
          <w:sz w:val="19"/>
          <w:szCs w:val="19"/>
          <w:shd w:val="clear" w:fill="FFFFFF"/>
        </w:rPr>
        <w:t>（国务院相关部门及各地区按职责分工负责）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5.全面落实行政执法公示、执法全过程记录、重大执法决定法制审核三项制度，2020年底前基本实现各级行政执法机关及时准确公示执法信息、执法全过程留痕和可回溯管理、重大执法决定法制审核全覆盖。</w:t>
      </w:r>
      <w:r>
        <w:rPr>
          <w:rFonts w:hint="eastAsia" w:ascii="楷体" w:hAnsi="楷体" w:eastAsia="楷体" w:cs="楷体"/>
          <w:i w:val="0"/>
          <w:caps w:val="0"/>
          <w:color w:val="333333"/>
          <w:spacing w:val="0"/>
          <w:sz w:val="19"/>
          <w:szCs w:val="19"/>
          <w:shd w:val="clear" w:fill="FFFFFF"/>
        </w:rPr>
        <w:t>（司法部牵头，国务院相关部门及各地区按职责分工负责）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（十二）完善“双随机、一公开”监管制度和工作机制，推动日常监管“双随机、一公开”全覆盖。</w:t>
      </w:r>
      <w:r>
        <w:rPr>
          <w:rFonts w:hint="eastAsia" w:ascii="楷体" w:hAnsi="楷体" w:eastAsia="楷体" w:cs="楷体"/>
          <w:i w:val="0"/>
          <w:caps w:val="0"/>
          <w:color w:val="333333"/>
          <w:spacing w:val="0"/>
          <w:sz w:val="19"/>
          <w:szCs w:val="19"/>
          <w:shd w:val="clear" w:fill="FFFFFF"/>
        </w:rPr>
        <w:t>（市场监管总局牵头，国务院相关部门及各地区按职责分工负责）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具体措施：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推进“双随机、一公开”跨部门联合监管，以省为单位建立统一的监管平台，实现各部门监管信息与省级平台互联互通。2019年底前市场监管部门完成双随机抽查全流程整合，实现双随机抽查覆盖企业比例达5%。2020年底前在市场监管领域实现相关部门“双随机、一公开”监管全覆盖，地方各级人民政府相关部门联合“双随机、一公开”监管常态化。</w:t>
      </w:r>
      <w:r>
        <w:rPr>
          <w:rFonts w:hint="eastAsia" w:ascii="楷体" w:hAnsi="楷体" w:eastAsia="楷体" w:cs="楷体"/>
          <w:i w:val="0"/>
          <w:caps w:val="0"/>
          <w:color w:val="333333"/>
          <w:spacing w:val="0"/>
          <w:sz w:val="19"/>
          <w:szCs w:val="19"/>
          <w:shd w:val="clear" w:fill="FFFFFF"/>
        </w:rPr>
        <w:t>（市场监管总局牵头，国务院相关部门及各地区按职责分工负责）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（十三）对重点领域进行重点监管，特别是对疫苗、药品、特种设备、危险化学品等涉及到人民生命安全、社会关注度高的领域，要实行全主体、全品种、全链条严格监管。</w:t>
      </w:r>
      <w:r>
        <w:rPr>
          <w:rFonts w:hint="eastAsia" w:ascii="楷体" w:hAnsi="楷体" w:eastAsia="楷体" w:cs="楷体"/>
          <w:i w:val="0"/>
          <w:caps w:val="0"/>
          <w:color w:val="333333"/>
          <w:spacing w:val="0"/>
          <w:sz w:val="19"/>
          <w:szCs w:val="19"/>
          <w:shd w:val="clear" w:fill="FFFFFF"/>
        </w:rPr>
        <w:t>（应急部、市场监管总局、药监局等国务院相关部门及各地区按职责分工负责）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具体措施：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1.加快研究建立违法严惩制度、惩罚性赔偿和巨额罚款制度、内部举报人奖励制度等，提高重点监管效能，让严重违法者付出高昂成本。</w:t>
      </w:r>
      <w:r>
        <w:rPr>
          <w:rFonts w:hint="eastAsia" w:ascii="楷体" w:hAnsi="楷体" w:eastAsia="楷体" w:cs="楷体"/>
          <w:i w:val="0"/>
          <w:caps w:val="0"/>
          <w:color w:val="333333"/>
          <w:spacing w:val="0"/>
          <w:sz w:val="19"/>
          <w:szCs w:val="19"/>
          <w:shd w:val="clear" w:fill="FFFFFF"/>
        </w:rPr>
        <w:t>（市场监管总局牵头，国务院相关部门按职责分工负责）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2.2019年11月底前组织开展危险化学品质量安全风险隐患排查和专项整治。</w:t>
      </w:r>
      <w:r>
        <w:rPr>
          <w:rFonts w:hint="eastAsia" w:ascii="楷体" w:hAnsi="楷体" w:eastAsia="楷体" w:cs="楷体"/>
          <w:i w:val="0"/>
          <w:caps w:val="0"/>
          <w:color w:val="333333"/>
          <w:spacing w:val="0"/>
          <w:sz w:val="19"/>
          <w:szCs w:val="19"/>
          <w:shd w:val="clear" w:fill="FFFFFF"/>
        </w:rPr>
        <w:t>（市场监管总局等国务院相关部门及各地区按职责分工负责）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3.建立疫苗生产企业巡查检查制度，实施对全部在产疫苗生产企业全覆盖检查。推行向疫苗生产企业派驻检查员制度。开展中药饮片质量专项整治。加强对国家组织药品集中采购和使用试点中标品种的日常监管、产品抽检和不良反应监测，督促企业落实主体责任。</w:t>
      </w:r>
      <w:r>
        <w:rPr>
          <w:rFonts w:hint="eastAsia" w:ascii="楷体" w:hAnsi="楷体" w:eastAsia="楷体" w:cs="楷体"/>
          <w:i w:val="0"/>
          <w:caps w:val="0"/>
          <w:color w:val="333333"/>
          <w:spacing w:val="0"/>
          <w:sz w:val="19"/>
          <w:szCs w:val="19"/>
          <w:shd w:val="clear" w:fill="FFFFFF"/>
        </w:rPr>
        <w:t>（药监局牵头，国务院相关部门及各地区按职责分工负责）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4.开展打击欺诈骗保专项治理活动，实现对全国定点医疗机构和零售药店监督检查全覆盖，公开曝光欺诈骗保典型案例。</w:t>
      </w:r>
      <w:r>
        <w:rPr>
          <w:rFonts w:hint="eastAsia" w:ascii="楷体" w:hAnsi="楷体" w:eastAsia="楷体" w:cs="楷体"/>
          <w:i w:val="0"/>
          <w:caps w:val="0"/>
          <w:color w:val="333333"/>
          <w:spacing w:val="0"/>
          <w:sz w:val="19"/>
          <w:szCs w:val="19"/>
          <w:shd w:val="clear" w:fill="FFFFFF"/>
        </w:rPr>
        <w:t>（医保局负责）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（十四）加强社会信用体系建设，大力推进信用监管，推行承诺制，让市场主体和公民讲诚信，自主承诺。对违背承诺、搞虚假承诺甚至坑蒙拐骗的，一经发现要严厉惩罚。</w:t>
      </w:r>
      <w:r>
        <w:rPr>
          <w:rFonts w:hint="eastAsia" w:ascii="楷体" w:hAnsi="楷体" w:eastAsia="楷体" w:cs="楷体"/>
          <w:i w:val="0"/>
          <w:caps w:val="0"/>
          <w:color w:val="333333"/>
          <w:spacing w:val="0"/>
          <w:sz w:val="19"/>
          <w:szCs w:val="19"/>
          <w:shd w:val="clear" w:fill="FFFFFF"/>
        </w:rPr>
        <w:t>（发展改革委、人民银行、市场监管总局牵头，国务院相关部门及各地区按职责分工负责）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具体措施：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1.规范认定并设立市场主体信用“黑名单”，建立健全信用修复、异议申诉等机制。2019年底前修订《严重违法失信企业名单管理暂行办法》，完善经营异常名录和严重违法失信企业名单管理等制度。</w:t>
      </w:r>
      <w:r>
        <w:rPr>
          <w:rFonts w:hint="eastAsia" w:ascii="楷体" w:hAnsi="楷体" w:eastAsia="楷体" w:cs="楷体"/>
          <w:i w:val="0"/>
          <w:caps w:val="0"/>
          <w:color w:val="333333"/>
          <w:spacing w:val="0"/>
          <w:sz w:val="19"/>
          <w:szCs w:val="19"/>
          <w:shd w:val="clear" w:fill="FFFFFF"/>
        </w:rPr>
        <w:t>（发展改革委、市场监管总局等国务院相关部门按职责分工负责）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2.围绕信用承诺、信用修复、失信联合惩戒、信用大数据开发利用等工作，2020年启动信用建设和信用监管试点示范。</w:t>
      </w:r>
      <w:r>
        <w:rPr>
          <w:rFonts w:hint="eastAsia" w:ascii="楷体" w:hAnsi="楷体" w:eastAsia="楷体" w:cs="楷体"/>
          <w:i w:val="0"/>
          <w:caps w:val="0"/>
          <w:color w:val="333333"/>
          <w:spacing w:val="0"/>
          <w:sz w:val="19"/>
          <w:szCs w:val="19"/>
          <w:shd w:val="clear" w:fill="FFFFFF"/>
        </w:rPr>
        <w:t>（发展改革委牵头，各地区、各部门负责）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3.2020年底前建立全国统一的信用报告标准，推动信用报告结果实现异地互认。</w:t>
      </w:r>
      <w:r>
        <w:rPr>
          <w:rFonts w:hint="eastAsia" w:ascii="楷体" w:hAnsi="楷体" w:eastAsia="楷体" w:cs="楷体"/>
          <w:i w:val="0"/>
          <w:caps w:val="0"/>
          <w:color w:val="333333"/>
          <w:spacing w:val="0"/>
          <w:sz w:val="19"/>
          <w:szCs w:val="19"/>
          <w:shd w:val="clear" w:fill="FFFFFF"/>
        </w:rPr>
        <w:t>（发展改革委、人民银行牵头，各地区、各部门负责）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4.依托国家“互联网+监管”等系统，有效整合公共信用信息、市场信用信息、投诉举报信息和互联网及第三方相关信息，充分运用大数据、人工智能等新一代信息技术，加快实现信用监管数据可比对、过程可追溯、问题可监测。</w:t>
      </w:r>
      <w:r>
        <w:rPr>
          <w:rFonts w:hint="eastAsia" w:ascii="楷体" w:hAnsi="楷体" w:eastAsia="楷体" w:cs="楷体"/>
          <w:i w:val="0"/>
          <w:caps w:val="0"/>
          <w:color w:val="333333"/>
          <w:spacing w:val="0"/>
          <w:sz w:val="19"/>
          <w:szCs w:val="19"/>
          <w:shd w:val="clear" w:fill="FFFFFF"/>
        </w:rPr>
        <w:t>（国务院办公厅、发展改革委、市场监管总局牵头，各部门按职责分工负责）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5.建立完善以信用为基础的新型海关监管机制，根据企业信用等级实施差别化通关监管措施，2019年底前出台对跨境电子商务等企业的认证标准。</w:t>
      </w:r>
      <w:r>
        <w:rPr>
          <w:rFonts w:hint="eastAsia" w:ascii="楷体" w:hAnsi="楷体" w:eastAsia="楷体" w:cs="楷体"/>
          <w:i w:val="0"/>
          <w:caps w:val="0"/>
          <w:color w:val="333333"/>
          <w:spacing w:val="0"/>
          <w:sz w:val="19"/>
          <w:szCs w:val="19"/>
          <w:shd w:val="clear" w:fill="FFFFFF"/>
        </w:rPr>
        <w:t>（海关总署负责）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6.推进知识产权领域信用体系建设，研究制定知识产权（专利）领域严重失信联合惩戒对象名单管理办法。加强对商标抢注和恶意注册、非正常专利申请等行为的信用监管。研究制定规范商标注册申请行为的有关规定。</w:t>
      </w:r>
      <w:r>
        <w:rPr>
          <w:rFonts w:hint="eastAsia" w:ascii="楷体" w:hAnsi="楷体" w:eastAsia="楷体" w:cs="楷体"/>
          <w:i w:val="0"/>
          <w:caps w:val="0"/>
          <w:color w:val="333333"/>
          <w:spacing w:val="0"/>
          <w:sz w:val="19"/>
          <w:szCs w:val="19"/>
          <w:shd w:val="clear" w:fill="FFFFFF"/>
        </w:rPr>
        <w:t>（知识产权局负责）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（十五）加快推进“互联网+监管”，及时总结推广地方好的经验做法，提高监管及时性、精准性、有效性。</w:t>
      </w:r>
      <w:r>
        <w:rPr>
          <w:rFonts w:hint="eastAsia" w:ascii="楷体" w:hAnsi="楷体" w:eastAsia="楷体" w:cs="楷体"/>
          <w:i w:val="0"/>
          <w:caps w:val="0"/>
          <w:color w:val="333333"/>
          <w:spacing w:val="0"/>
          <w:sz w:val="19"/>
          <w:szCs w:val="19"/>
          <w:shd w:val="clear" w:fill="FFFFFF"/>
        </w:rPr>
        <w:t>（国务院办公厅牵头，国务院相关部门及各地区按职责分工负责）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具体措施：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1.2019年9月底前完成国家“互联网+监管”系统主体功能建设并上线运行，归集共享各类监管数据，建立完善相关风险预警模型，实现对违法行为早发现、早提醒、早处置。</w:t>
      </w:r>
      <w:r>
        <w:rPr>
          <w:rFonts w:hint="eastAsia" w:ascii="楷体" w:hAnsi="楷体" w:eastAsia="楷体" w:cs="楷体"/>
          <w:i w:val="0"/>
          <w:caps w:val="0"/>
          <w:color w:val="333333"/>
          <w:spacing w:val="0"/>
          <w:sz w:val="19"/>
          <w:szCs w:val="19"/>
          <w:shd w:val="clear" w:fill="FFFFFF"/>
        </w:rPr>
        <w:t>（国务院办公厅负责）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2.加快推进地方和部门“互联网+监管”系统建设并与国家“互联网+监管”系统对接联通，推动形成统一规范、信息共享、协同联动的全国“互联网+监管”体系。</w:t>
      </w:r>
      <w:r>
        <w:rPr>
          <w:rFonts w:hint="eastAsia" w:ascii="楷体" w:hAnsi="楷体" w:eastAsia="楷体" w:cs="楷体"/>
          <w:i w:val="0"/>
          <w:caps w:val="0"/>
          <w:color w:val="333333"/>
          <w:spacing w:val="0"/>
          <w:sz w:val="19"/>
          <w:szCs w:val="19"/>
          <w:shd w:val="clear" w:fill="FFFFFF"/>
        </w:rPr>
        <w:t>（国务院办公厅牵头，各地区、各部门负责）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（十六）坚持对新兴产业实施包容审慎监管，在监管中找到新生事物发展规律，该处置的处置，该客观对待的客观对待，不简单封杀，但也决不能放任不管，推动新业态更好更健康发展。</w:t>
      </w:r>
      <w:r>
        <w:rPr>
          <w:rFonts w:hint="eastAsia" w:ascii="楷体" w:hAnsi="楷体" w:eastAsia="楷体" w:cs="楷体"/>
          <w:i w:val="0"/>
          <w:caps w:val="0"/>
          <w:color w:val="333333"/>
          <w:spacing w:val="0"/>
          <w:sz w:val="19"/>
          <w:szCs w:val="19"/>
          <w:shd w:val="clear" w:fill="FFFFFF"/>
        </w:rPr>
        <w:t>（国务院相关部门及各地区按职责分工负责）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具体措施：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1.2019年8月底前出台促进平台经济规范健康发展的指导意见，加大政策支持力度，创新监管方式，落实和完善包容审慎监管要求，推动建立健全适应平台经济发展特点的新型监管机制。</w:t>
      </w:r>
      <w:r>
        <w:rPr>
          <w:rFonts w:hint="eastAsia" w:ascii="楷体" w:hAnsi="楷体" w:eastAsia="楷体" w:cs="楷体"/>
          <w:i w:val="0"/>
          <w:caps w:val="0"/>
          <w:color w:val="333333"/>
          <w:spacing w:val="0"/>
          <w:sz w:val="19"/>
          <w:szCs w:val="19"/>
          <w:shd w:val="clear" w:fill="FFFFFF"/>
        </w:rPr>
        <w:t>（国务院办公厅牵头，国务院相关部门及各地区按职责分工负责）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2.优化新业态发展环境，放宽新兴行业企业名称登记限制，完善互联网平台企业用工、灵活就业人员相关政策，加强政府部门与互联网平台数据共享，2019年底前建成全国一体化在线政务服务平台电子证照共享服务系统。鼓励各地探索适应新业态特点、有利于公平竞争的公正监管办法，更好支持新业态发展。</w:t>
      </w:r>
      <w:r>
        <w:rPr>
          <w:rFonts w:hint="eastAsia" w:ascii="楷体" w:hAnsi="楷体" w:eastAsia="楷体" w:cs="楷体"/>
          <w:i w:val="0"/>
          <w:caps w:val="0"/>
          <w:color w:val="333333"/>
          <w:spacing w:val="0"/>
          <w:sz w:val="19"/>
          <w:szCs w:val="19"/>
          <w:shd w:val="clear" w:fill="FFFFFF"/>
        </w:rPr>
        <w:t>（国务院办公厅、市场监管总局、人力资源社会保障部等国务院相关部门及各地区按职责分工负责）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三、大力优化政府服务，努力服出便利</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（十七）切实增强服务意识，不断提升服务能力和水平，大力提升政务服务效率，针对群众办事来回跑、环节多材料多、政府服务效率低等问题，对政务服务流程、方式进行系统化改革。</w:t>
      </w:r>
      <w:r>
        <w:rPr>
          <w:rFonts w:hint="eastAsia" w:ascii="楷体" w:hAnsi="楷体" w:eastAsia="楷体" w:cs="楷体"/>
          <w:i w:val="0"/>
          <w:caps w:val="0"/>
          <w:color w:val="333333"/>
          <w:spacing w:val="0"/>
          <w:sz w:val="19"/>
          <w:szCs w:val="19"/>
          <w:shd w:val="clear" w:fill="FFFFFF"/>
        </w:rPr>
        <w:t>（国务院办公厅牵头，国务院相关部门及各地区按职责分工负责）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具体措施：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1.2019年9月底前制定出台建立政务服务“好差评”制度有关指导意见，倒逼各级政府部门不断改进工作。</w:t>
      </w:r>
      <w:r>
        <w:rPr>
          <w:rFonts w:hint="eastAsia" w:ascii="楷体" w:hAnsi="楷体" w:eastAsia="楷体" w:cs="楷体"/>
          <w:i w:val="0"/>
          <w:caps w:val="0"/>
          <w:color w:val="333333"/>
          <w:spacing w:val="0"/>
          <w:sz w:val="19"/>
          <w:szCs w:val="19"/>
          <w:shd w:val="clear" w:fill="FFFFFF"/>
        </w:rPr>
        <w:t>（国务院办公厅负责）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2.加快实现公安、市场监管、住房城乡建设、税务、司法、民政等部门信息与不动产登记信息共享集成。对登记中涉及多个部门交叉办理的事项，通过信息化手段整合集成业务流程，2019年底前在全国基本实现“一窗受理、并行办理”，东部沿海地区力争率先实现办理一般登记、抵押登记时间压缩至5个工作日以内；2020年底前“互联网+不动产登记”在地级及以上城市全面实施，办理一般登记、抵押登记时间力争全部压缩至5个工作日以内。</w:t>
      </w:r>
      <w:r>
        <w:rPr>
          <w:rFonts w:hint="eastAsia" w:ascii="楷体" w:hAnsi="楷体" w:eastAsia="楷体" w:cs="楷体"/>
          <w:i w:val="0"/>
          <w:caps w:val="0"/>
          <w:color w:val="333333"/>
          <w:spacing w:val="0"/>
          <w:sz w:val="19"/>
          <w:szCs w:val="19"/>
          <w:shd w:val="clear" w:fill="FFFFFF"/>
        </w:rPr>
        <w:t>（自然资源部牵头，国务院相关部门及各地区按职责分工负责）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3.提升跨境贸易便利化水平，加强国际贸易“单一窗口”与银行、保险、民航、铁路、港口等相关行业机构合作对接，2019年底前实现主要申报业务应用率达100%。进一步精简进出口环节监管证件数量，加快推行进出口“提前申报”、“两步申报”通关模式和无纸化通关作业。</w:t>
      </w:r>
      <w:r>
        <w:rPr>
          <w:rFonts w:hint="eastAsia" w:ascii="楷体" w:hAnsi="楷体" w:eastAsia="楷体" w:cs="楷体"/>
          <w:i w:val="0"/>
          <w:caps w:val="0"/>
          <w:color w:val="333333"/>
          <w:spacing w:val="0"/>
          <w:sz w:val="19"/>
          <w:szCs w:val="19"/>
          <w:shd w:val="clear" w:fill="FFFFFF"/>
        </w:rPr>
        <w:t>（海关总署牵头，交通运输部、银保监会、民航局、铁路局等国务院相关部门及各地区按职责分工负责）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4.试点建立统一的现代动产担保系统，2020年底前力争整合各类动产登记和权利担保登记系统，实现企业担保在一个平台上登记，各相关部门按职责分别实施后台监管。</w:t>
      </w:r>
      <w:r>
        <w:rPr>
          <w:rFonts w:hint="eastAsia" w:ascii="楷体" w:hAnsi="楷体" w:eastAsia="楷体" w:cs="楷体"/>
          <w:i w:val="0"/>
          <w:caps w:val="0"/>
          <w:color w:val="333333"/>
          <w:spacing w:val="0"/>
          <w:sz w:val="19"/>
          <w:szCs w:val="19"/>
          <w:shd w:val="clear" w:fill="FFFFFF"/>
        </w:rPr>
        <w:t>（人民银行牵头，交通运输部、市场监管总局、知识产权局等国务院相关部门按职责分工负责）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5.扩大异地就医结算范围，2019年底前基本实现异地就医患者在定点医院住院持卡看病、即时结算，2020年底前基本实现符合条件的跨省异地就医患者在所有定点医院能直接结算。</w:t>
      </w:r>
      <w:r>
        <w:rPr>
          <w:rFonts w:hint="eastAsia" w:ascii="楷体" w:hAnsi="楷体" w:eastAsia="楷体" w:cs="楷体"/>
          <w:i w:val="0"/>
          <w:caps w:val="0"/>
          <w:color w:val="333333"/>
          <w:spacing w:val="0"/>
          <w:sz w:val="19"/>
          <w:szCs w:val="19"/>
          <w:shd w:val="clear" w:fill="FFFFFF"/>
        </w:rPr>
        <w:t>（医保局及各地区按职责分工负责）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6.加快建成全国统一的社会保险公共服务平台，实现个人权益记录查询、自主认证、养老保险待遇测算、社保卡应用状态查询等“一站式”功能，全面取消领取社保待遇资格集中认证，优化社保卡服务，加快推进电子社保卡。2019年底前实现养老保险关系转移接续业务网上办理。</w:t>
      </w:r>
      <w:r>
        <w:rPr>
          <w:rFonts w:hint="eastAsia" w:ascii="楷体" w:hAnsi="楷体" w:eastAsia="楷体" w:cs="楷体"/>
          <w:i w:val="0"/>
          <w:caps w:val="0"/>
          <w:color w:val="333333"/>
          <w:spacing w:val="0"/>
          <w:sz w:val="19"/>
          <w:szCs w:val="19"/>
          <w:shd w:val="clear" w:fill="FFFFFF"/>
        </w:rPr>
        <w:t>（人力资源社会保障部及各地区按职责分工负责）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7.推广商标和专利电子化申请，2019年底前将高价值专利审查周期压缩至17.5个月、商标注册平均审查周期压缩到5个月，消减发明专利审查积压10万件。</w:t>
      </w:r>
      <w:r>
        <w:rPr>
          <w:rFonts w:hint="eastAsia" w:ascii="楷体" w:hAnsi="楷体" w:eastAsia="楷体" w:cs="楷体"/>
          <w:i w:val="0"/>
          <w:caps w:val="0"/>
          <w:color w:val="333333"/>
          <w:spacing w:val="0"/>
          <w:sz w:val="19"/>
          <w:szCs w:val="19"/>
          <w:shd w:val="clear" w:fill="FFFFFF"/>
        </w:rPr>
        <w:t>（知识产权局负责）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8.2019年10月底前改进优化来华工作外国人入境和居留管理制度办法，优化外国人来华相关审批、审查服务，压减办理时间。同时，向全社会开放出入境证件身份认证服务平台，为境内港澳居民、华侨持用出入境证件办理金融、教育、医疗等社会事务提供便利。</w:t>
      </w:r>
      <w:r>
        <w:rPr>
          <w:rFonts w:hint="eastAsia" w:ascii="楷体" w:hAnsi="楷体" w:eastAsia="楷体" w:cs="楷体"/>
          <w:i w:val="0"/>
          <w:caps w:val="0"/>
          <w:color w:val="333333"/>
          <w:spacing w:val="0"/>
          <w:sz w:val="19"/>
          <w:szCs w:val="19"/>
          <w:shd w:val="clear" w:fill="FFFFFF"/>
        </w:rPr>
        <w:t>（公安部、科技部、人力资源社会保障部、移民局按职责分工负责）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9.2020年6月底前全面推广证明事项告知承诺制。进一步改进和规范基层群众性自治组织出具证明工作，解决群众反映强烈的“万能居委会”、“社区万能章”等问题。</w:t>
      </w:r>
      <w:r>
        <w:rPr>
          <w:rFonts w:hint="eastAsia" w:ascii="楷体" w:hAnsi="楷体" w:eastAsia="楷体" w:cs="楷体"/>
          <w:i w:val="0"/>
          <w:caps w:val="0"/>
          <w:color w:val="333333"/>
          <w:spacing w:val="0"/>
          <w:sz w:val="19"/>
          <w:szCs w:val="19"/>
          <w:shd w:val="clear" w:fill="FFFFFF"/>
        </w:rPr>
        <w:t>（司法部、民政部按职责分工负责）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十八）依托全国一体化在线政务服务平台，加快打造全国政务服务“一张网”，实现更大范围“一网通办”、异地可办、“掌上可办”，确需到现场办的再到政务服务大厅办理。在办理政务服务事项过程中要注意保护商业秘密和个人隐私。</w:t>
      </w:r>
      <w:r>
        <w:rPr>
          <w:rFonts w:hint="eastAsia" w:ascii="楷体" w:hAnsi="楷体" w:eastAsia="楷体" w:cs="楷体"/>
          <w:i w:val="0"/>
          <w:caps w:val="0"/>
          <w:color w:val="333333"/>
          <w:spacing w:val="0"/>
          <w:sz w:val="19"/>
          <w:szCs w:val="19"/>
          <w:shd w:val="clear" w:fill="FFFFFF"/>
        </w:rPr>
        <w:t>（国务院办公厅牵头，国务院相关部门及各地区按职责分工负责）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具体措施：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1.2019年9月底前上线运行以国家政务服务平台为总枢纽的全国一体化在线政务服务平台，建立完善全国一体化在线政务服务平台标准规范体系、安全保障体系和法规制度体系，在更大范围实现“一网通办”、异地可办。2019年底前首批推动10种高频电子证照全国标准化应用和互信互认，推动100项以上政务服务事项在各省（区、市）内和跨省（区、市）实现“一网通办”。2020年底前基本完成对依申请办理的政务服务事项名称、编码、依据、类型等基本要素和办事指南要素在国家、省、市、县四级统一。</w:t>
      </w:r>
      <w:r>
        <w:rPr>
          <w:rFonts w:hint="eastAsia" w:ascii="楷体" w:hAnsi="楷体" w:eastAsia="楷体" w:cs="楷体"/>
          <w:i w:val="0"/>
          <w:caps w:val="0"/>
          <w:color w:val="333333"/>
          <w:spacing w:val="0"/>
          <w:sz w:val="19"/>
          <w:szCs w:val="19"/>
          <w:shd w:val="clear" w:fill="FFFFFF"/>
        </w:rPr>
        <w:t>（国务院办公厅牵头，各地区、各部门负责）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2.更大力度推动央地数据共享，建立权威高效的数据共享协调机制，2019年再新增拓展1000项共享数据，将直接关系到企业和群众办事、应用频次高的数据优先纳入共享范围，满足30项以上全国普遍性高频政务服务事项的数据共享需求。加快推进“互联网+可信身份认证”平台、全国人口信息社会应用平台等多种网上身份认证能力融合，为全国一体化在线政务服务平台提供统一身份认证支撑。</w:t>
      </w:r>
      <w:r>
        <w:rPr>
          <w:rFonts w:hint="eastAsia" w:ascii="楷体" w:hAnsi="楷体" w:eastAsia="楷体" w:cs="楷体"/>
          <w:i w:val="0"/>
          <w:caps w:val="0"/>
          <w:color w:val="333333"/>
          <w:spacing w:val="0"/>
          <w:sz w:val="19"/>
          <w:szCs w:val="19"/>
          <w:shd w:val="clear" w:fill="FFFFFF"/>
        </w:rPr>
        <w:t>（国务院办公厅、发展改革委、公安部按职责分工负责）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3.提升政务服务大厅“一站式”功能，2019年底前政务服务事项进驻综合性实体政务服务大厅基本实现“应进必进”，70%以上政务服务事项实现“一窗”分类受理。推动政务服务大厅与政务服务平台全面对接融合。</w:t>
      </w:r>
      <w:r>
        <w:rPr>
          <w:rFonts w:hint="eastAsia" w:ascii="楷体" w:hAnsi="楷体" w:eastAsia="楷体" w:cs="楷体"/>
          <w:i w:val="0"/>
          <w:caps w:val="0"/>
          <w:color w:val="333333"/>
          <w:spacing w:val="0"/>
          <w:sz w:val="19"/>
          <w:szCs w:val="19"/>
          <w:shd w:val="clear" w:fill="FFFFFF"/>
        </w:rPr>
        <w:t>（国务院办公厅牵头，各地区、各部门负责）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十九）一些带有垄断性质的供电、供水、供气、供暖等公用事业单位及医院、银行等服务机构，要从方便市场主体和人民群众出发，提高服务质量和效率，大幅压减自来水、电力、燃气、供暖办理时间，提高相关政策透明度，大力推行APP办事、移动支付等。</w:t>
      </w:r>
      <w:r>
        <w:rPr>
          <w:rFonts w:hint="eastAsia" w:ascii="楷体" w:hAnsi="楷体" w:eastAsia="楷体" w:cs="楷体"/>
          <w:i w:val="0"/>
          <w:caps w:val="0"/>
          <w:color w:val="333333"/>
          <w:spacing w:val="0"/>
          <w:sz w:val="19"/>
          <w:szCs w:val="19"/>
          <w:shd w:val="clear" w:fill="FFFFFF"/>
        </w:rPr>
        <w:t>（发展改革委、住房城乡建设部、水利部、卫生健康委、人民银行、银保监会、能源局等国务院相关部门及各地区按职责分工负责）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具体措施：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1.2019年底前研究制定规范水电气暖等行业收费、管理、服务等方面的综合性意见。</w:t>
      </w:r>
      <w:r>
        <w:rPr>
          <w:rFonts w:hint="eastAsia" w:ascii="楷体" w:hAnsi="楷体" w:eastAsia="楷体" w:cs="楷体"/>
          <w:i w:val="0"/>
          <w:caps w:val="0"/>
          <w:color w:val="333333"/>
          <w:spacing w:val="0"/>
          <w:sz w:val="19"/>
          <w:szCs w:val="19"/>
          <w:shd w:val="clear" w:fill="FFFFFF"/>
        </w:rPr>
        <w:t>（发展改革委牵头，住房城乡建设部等国务院相关部门按职责分工负责）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2.进一步压减办电时间，加快推广低压小微企业用电报装“三零”（零上门、零审批、零投资）服务，2019年底前在全国各直辖市、省会城市实现低压小微企业用电报装“三零”服务，将办电时间压缩至30个工作日以内。地方政府要大幅压缩电力接入工程审批时间。研究建立针对供电企业停电超过一定频次和时间的处罚机制。</w:t>
      </w:r>
      <w:r>
        <w:rPr>
          <w:rFonts w:hint="eastAsia" w:ascii="楷体" w:hAnsi="楷体" w:eastAsia="楷体" w:cs="楷体"/>
          <w:i w:val="0"/>
          <w:caps w:val="0"/>
          <w:color w:val="333333"/>
          <w:spacing w:val="0"/>
          <w:sz w:val="19"/>
          <w:szCs w:val="19"/>
          <w:shd w:val="clear" w:fill="FFFFFF"/>
        </w:rPr>
        <w:t>（能源局及各地区按职责分工负责）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3.优化水气报装服务，指导地方落实新修订的《城镇供水服务》、《燃气服务导则》等国家标准，将水气设施报装提前到施工许可证核发后即可办理，2019年底前将供水新增、扩容改装的报装时间分别压缩至20个、15个工作日以内，将燃气报装时间压缩至16个工作日以内，大幅压减报装、安装费用。</w:t>
      </w:r>
      <w:r>
        <w:rPr>
          <w:rFonts w:hint="eastAsia" w:ascii="楷体" w:hAnsi="楷体" w:eastAsia="楷体" w:cs="楷体"/>
          <w:i w:val="0"/>
          <w:caps w:val="0"/>
          <w:color w:val="333333"/>
          <w:spacing w:val="0"/>
          <w:sz w:val="19"/>
          <w:szCs w:val="19"/>
          <w:shd w:val="clear" w:fill="FFFFFF"/>
        </w:rPr>
        <w:t>（住房城乡建设部、发展改革委及各地区按职责分工负责）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4.指导督促商业银行优化服务，2019年底前解决银行卡解绑和异地注销难、“睡眠卡”收费不透明等一批群众反映强烈的问题，加快推动解决继承财产支取难问题。优化电信服务，持续推进降低电信收费、异地销户、携号转网等工作。持续优化老年证、居住证、流动人员人事档案管理等证件或手续办理流程，减少公用企事业单位索要的证明材料。</w:t>
      </w:r>
      <w:r>
        <w:rPr>
          <w:rFonts w:hint="eastAsia" w:ascii="楷体" w:hAnsi="楷体" w:eastAsia="楷体" w:cs="楷体"/>
          <w:i w:val="0"/>
          <w:caps w:val="0"/>
          <w:color w:val="333333"/>
          <w:spacing w:val="0"/>
          <w:sz w:val="19"/>
          <w:szCs w:val="19"/>
          <w:shd w:val="clear" w:fill="FFFFFF"/>
        </w:rPr>
        <w:t>（银保监会、工业和信息化部、公安部、民政部、卫生健康委、人力资源社会保障部、发展改革委、住房城乡建设部、司法部等国务院相关部门及各地区按职责分工负责）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二十）大力发展服务业，采用政府和市场多元化投入的方式，引导鼓励更多社会资本进入服务业，扩大服务业对外开放，结合城镇老旧小区改造，大力发展养老、托幼、家政和“互联网+教育”、“互联网+医疗”等服务，有效增加公共服务供给、提高供给质量，更好满足人民群众需求。</w:t>
      </w:r>
      <w:r>
        <w:rPr>
          <w:rFonts w:hint="eastAsia" w:ascii="楷体" w:hAnsi="楷体" w:eastAsia="楷体" w:cs="楷体"/>
          <w:i w:val="0"/>
          <w:caps w:val="0"/>
          <w:color w:val="333333"/>
          <w:spacing w:val="0"/>
          <w:sz w:val="19"/>
          <w:szCs w:val="19"/>
          <w:shd w:val="clear" w:fill="FFFFFF"/>
        </w:rPr>
        <w:t>（发展改革委、教育部、民政部、住房城乡建设部、商务部、卫生健康委等国务院相关部门及各地区按职责分工负责）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具体措施：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1.2019年8月底前制定出台加快发展“互联网+社会服务”的意见，提出进一步推进“互联网+”与教育、健康医疗、养老、文化、旅游、体育、家政等领域深度融合发展的政策措施，充分发挥社会领域公共服务资源作用，创新服务模式，更好惠及人民群众。</w:t>
      </w:r>
      <w:r>
        <w:rPr>
          <w:rFonts w:hint="eastAsia" w:ascii="楷体" w:hAnsi="楷体" w:eastAsia="楷体" w:cs="楷体"/>
          <w:i w:val="0"/>
          <w:caps w:val="0"/>
          <w:color w:val="333333"/>
          <w:spacing w:val="0"/>
          <w:sz w:val="19"/>
          <w:szCs w:val="19"/>
          <w:shd w:val="clear" w:fill="FFFFFF"/>
        </w:rPr>
        <w:t>（发展改革委牵头，教育部、民政部、商务部、文化和旅游部、卫生健康委、体育总局等国务院相关部门按职责分工负责）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2.结合城镇老旧小区改造，深入落实养老、托幼、家政等服务业有关政策意见。推进建设城乡便民消费服务中心，进一步扩大建设范围和数量，鼓励建设社区生活服务中心，在城乡社区推动包括家政服务在内的居民生活服务业发展，更好满足群众需要。支持社会力量发展普惠性托育服务，增加普惠性托育服务有效供给，促进婴幼儿照护服务标准化、规范化发展。</w:t>
      </w:r>
      <w:r>
        <w:rPr>
          <w:rFonts w:hint="eastAsia" w:ascii="楷体" w:hAnsi="楷体" w:eastAsia="楷体" w:cs="楷体"/>
          <w:i w:val="0"/>
          <w:caps w:val="0"/>
          <w:color w:val="333333"/>
          <w:spacing w:val="0"/>
          <w:sz w:val="19"/>
          <w:szCs w:val="19"/>
          <w:shd w:val="clear" w:fill="FFFFFF"/>
        </w:rPr>
        <w:t>（住房城乡建设部、商务部、民政部、卫生健康委、发展改革委等国务院相关部门按职责分工负责）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3.2020年底前落实互联网诊疗和互联网医院管理相关政策，推动二级以上医院普遍提供分时段预约诊疗、诊间结算、移动支付等服务。探索建立老年人长期护理需求认定和等级评定标准体系，加强医疗护理员培训，促进老龄健康服务业发展。</w:t>
      </w:r>
      <w:r>
        <w:rPr>
          <w:rFonts w:hint="eastAsia" w:ascii="楷体" w:hAnsi="楷体" w:eastAsia="楷体" w:cs="楷体"/>
          <w:i w:val="0"/>
          <w:caps w:val="0"/>
          <w:color w:val="333333"/>
          <w:spacing w:val="0"/>
          <w:sz w:val="19"/>
          <w:szCs w:val="19"/>
          <w:shd w:val="clear" w:fill="FFFFFF"/>
        </w:rPr>
        <w:t>（卫生健康委、医保局按职责分工负责）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四、强化责任担当，确保“放管服”改革不断取得新成效</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（二十一）抓紧研究制定《优化营商环境条例》，为营商环境建设提供法治保障。2019年要开展营商环境百项诉求处理行动，破解一批营商环境痛点难点。</w:t>
      </w:r>
      <w:r>
        <w:rPr>
          <w:rFonts w:hint="eastAsia" w:ascii="楷体" w:hAnsi="楷体" w:eastAsia="楷体" w:cs="楷体"/>
          <w:i w:val="0"/>
          <w:caps w:val="0"/>
          <w:color w:val="333333"/>
          <w:spacing w:val="0"/>
          <w:sz w:val="19"/>
          <w:szCs w:val="19"/>
          <w:shd w:val="clear" w:fill="FFFFFF"/>
        </w:rPr>
        <w:t>（发展改革委、司法部、国务院办公厅牵头，国务院相关部门及各地区按职责分工负责）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具体措施：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1.抓紧研究制定《优化营商环境条例》，2019年8月底前完成向各有关方面征求意见和法规审查工作、形成草案，9月底前公布实施。</w:t>
      </w:r>
      <w:r>
        <w:rPr>
          <w:rFonts w:hint="eastAsia" w:ascii="楷体" w:hAnsi="楷体" w:eastAsia="楷体" w:cs="楷体"/>
          <w:i w:val="0"/>
          <w:caps w:val="0"/>
          <w:color w:val="333333"/>
          <w:spacing w:val="0"/>
          <w:sz w:val="19"/>
          <w:szCs w:val="19"/>
          <w:shd w:val="clear" w:fill="FFFFFF"/>
        </w:rPr>
        <w:t>（发展改革委、司法部、国务院办公厅牵头，国务院相关部门按职责分工负责）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2.围绕开办企业、办理建筑许可、获得电力、登记财产、纳税、跨境贸易等优化营商环境重点领域，搜集一批企业和群众反映强烈的问题，2019年底前推动各地区、各部门研究出台具体解决措施。</w:t>
      </w:r>
      <w:r>
        <w:rPr>
          <w:rFonts w:hint="eastAsia" w:ascii="楷体" w:hAnsi="楷体" w:eastAsia="楷体" w:cs="楷体"/>
          <w:i w:val="0"/>
          <w:caps w:val="0"/>
          <w:color w:val="333333"/>
          <w:spacing w:val="0"/>
          <w:sz w:val="19"/>
          <w:szCs w:val="19"/>
          <w:shd w:val="clear" w:fill="FFFFFF"/>
        </w:rPr>
        <w:t>（发展改革委牵头，国务院相关部门及各地区按职责分工负责）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3.对标国际先进水平，聚焦营商环境关键领域和薄弱环节，研究制定优化营商环境重点任务台账，并抓好落实。</w:t>
      </w:r>
      <w:r>
        <w:rPr>
          <w:rFonts w:hint="eastAsia" w:ascii="楷体" w:hAnsi="楷体" w:eastAsia="楷体" w:cs="楷体"/>
          <w:i w:val="0"/>
          <w:caps w:val="0"/>
          <w:color w:val="333333"/>
          <w:spacing w:val="0"/>
          <w:sz w:val="19"/>
          <w:szCs w:val="19"/>
          <w:shd w:val="clear" w:fill="FFFFFF"/>
        </w:rPr>
        <w:t>（财政部、国务院办公厅牵头，国务院相关部门及各地区按职责分工负责）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（二十二）鼓励支持各地大胆创新，及时指导帮助地方解决改革中遇到的难题。要进一步加大向地方放权特别是综合授权的力度，充分调动和发挥地方推进改革发展的积极性、主动性和创造性。</w:t>
      </w:r>
      <w:r>
        <w:rPr>
          <w:rFonts w:hint="eastAsia" w:ascii="楷体" w:hAnsi="楷体" w:eastAsia="楷体" w:cs="楷体"/>
          <w:i w:val="0"/>
          <w:caps w:val="0"/>
          <w:color w:val="333333"/>
          <w:spacing w:val="0"/>
          <w:sz w:val="19"/>
          <w:szCs w:val="19"/>
          <w:shd w:val="clear" w:fill="FFFFFF"/>
        </w:rPr>
        <w:t>（国务院相关部门及各地区按职责分工负责）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二十三）对滞后于改革要求、不利于优化营商环境、制约新产业新业态新模式发展的有关规定，要加快清理修改。对与改革决策相抵触的行政法规、部门规章和行政规范性文件，要应改尽改、应废尽废。涉及到修改法律的，要与改革方案同步提出修法建议。各地区可通过制定地方性法规、规章，将实践证明行之有效、人民群众满意、市场主体支持的改革举措固化下来。</w:t>
      </w:r>
      <w:r>
        <w:rPr>
          <w:rFonts w:hint="eastAsia" w:ascii="楷体" w:hAnsi="楷体" w:eastAsia="楷体" w:cs="楷体"/>
          <w:i w:val="0"/>
          <w:caps w:val="0"/>
          <w:color w:val="333333"/>
          <w:spacing w:val="0"/>
          <w:sz w:val="19"/>
          <w:szCs w:val="19"/>
          <w:shd w:val="clear" w:fill="FFFFFF"/>
        </w:rPr>
        <w:t>（各地区、各部门负责）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二十四）要把“放管服”改革、优化营商环境各项举措落实情况，作为2019年国务院大督查的重点。继续用好督查奖惩这个有效办法，对成效明显的加大表扬和政策激励力度，对不作为乱作为延误改革的要严肃问责。</w:t>
      </w:r>
      <w:r>
        <w:rPr>
          <w:rFonts w:hint="eastAsia" w:ascii="楷体" w:hAnsi="楷体" w:eastAsia="楷体" w:cs="楷体"/>
          <w:i w:val="0"/>
          <w:caps w:val="0"/>
          <w:color w:val="333333"/>
          <w:spacing w:val="0"/>
          <w:sz w:val="19"/>
          <w:szCs w:val="19"/>
          <w:shd w:val="clear" w:fill="FFFFFF"/>
        </w:rPr>
        <w:t>（国务院办公厅牵头，各地区、各部门负责）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各地区、各部门的贯彻落实情况，年底前书面报国务院。工作中取得的重大进展、存在的突出问题要及时报告。</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19"/>
          <w:szCs w:val="19"/>
          <w:shd w:val="clear"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21"/>
          <w:szCs w:val="21"/>
          <w:shd w:val="clear"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21"/>
          <w:szCs w:val="21"/>
          <w:shd w:val="clear"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21"/>
          <w:szCs w:val="21"/>
          <w:shd w:val="clear"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21"/>
          <w:szCs w:val="21"/>
          <w:shd w:val="clear"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21"/>
          <w:szCs w:val="21"/>
          <w:shd w:val="clear"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21"/>
          <w:szCs w:val="21"/>
          <w:shd w:val="clear"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21"/>
          <w:szCs w:val="21"/>
          <w:shd w:val="clear"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21"/>
          <w:szCs w:val="21"/>
          <w:shd w:val="clear"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21"/>
          <w:szCs w:val="21"/>
          <w:shd w:val="clear" w:fill="FFFFFF"/>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宋体" w:hAnsi="宋体" w:eastAsia="宋体" w:cs="宋体"/>
          <w:i w:val="0"/>
          <w:caps w:val="0"/>
          <w:color w:val="333333"/>
          <w:spacing w:val="0"/>
          <w:sz w:val="30"/>
          <w:szCs w:val="30"/>
        </w:rPr>
      </w:pPr>
      <w:bookmarkStart w:id="58" w:name="_Toc19874"/>
      <w:r>
        <w:rPr>
          <w:rFonts w:hint="eastAsia" w:ascii="宋体" w:hAnsi="宋体" w:eastAsia="宋体" w:cs="宋体"/>
          <w:b/>
          <w:i w:val="0"/>
          <w:caps w:val="0"/>
          <w:color w:val="333333"/>
          <w:spacing w:val="0"/>
          <w:sz w:val="30"/>
          <w:szCs w:val="30"/>
          <w:shd w:val="clear" w:fill="FFFFFF"/>
        </w:rPr>
        <w:t>国务院办公厅关于加快发展流通</w:t>
      </w:r>
      <w:bookmarkEnd w:id="58"/>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宋体" w:hAnsi="宋体" w:eastAsia="宋体" w:cs="宋体"/>
          <w:i w:val="0"/>
          <w:caps w:val="0"/>
          <w:color w:val="333333"/>
          <w:spacing w:val="0"/>
          <w:sz w:val="30"/>
          <w:szCs w:val="30"/>
        </w:rPr>
      </w:pPr>
      <w:bookmarkStart w:id="59" w:name="_Toc16273"/>
      <w:bookmarkStart w:id="60" w:name="_Toc1956"/>
      <w:bookmarkStart w:id="61" w:name="_Toc4972"/>
      <w:bookmarkStart w:id="62" w:name="_Toc24537"/>
      <w:r>
        <w:rPr>
          <w:rFonts w:hint="eastAsia" w:ascii="宋体" w:hAnsi="宋体" w:eastAsia="宋体" w:cs="宋体"/>
          <w:b/>
          <w:i w:val="0"/>
          <w:caps w:val="0"/>
          <w:color w:val="333333"/>
          <w:spacing w:val="0"/>
          <w:sz w:val="30"/>
          <w:szCs w:val="30"/>
          <w:shd w:val="clear" w:fill="FFFFFF"/>
        </w:rPr>
        <w:t>促进商业消费的意见</w:t>
      </w:r>
      <w:bookmarkEnd w:id="59"/>
      <w:bookmarkEnd w:id="60"/>
      <w:bookmarkEnd w:id="61"/>
      <w:bookmarkEnd w:id="62"/>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宋体" w:hAnsi="宋体" w:eastAsia="宋体" w:cs="宋体"/>
          <w:i w:val="0"/>
          <w:caps w:val="0"/>
          <w:color w:val="333333"/>
          <w:spacing w:val="0"/>
          <w:sz w:val="24"/>
          <w:szCs w:val="24"/>
        </w:rPr>
      </w:pPr>
      <w:bookmarkStart w:id="63" w:name="_Toc12739"/>
      <w:r>
        <w:rPr>
          <w:rFonts w:ascii="楷体" w:hAnsi="楷体" w:eastAsia="楷体" w:cs="楷体"/>
          <w:i w:val="0"/>
          <w:caps w:val="0"/>
          <w:color w:val="333333"/>
          <w:spacing w:val="0"/>
          <w:sz w:val="24"/>
          <w:szCs w:val="24"/>
          <w:shd w:val="clear" w:fill="FFFFFF"/>
        </w:rPr>
        <w:t>国办发〔2019〕42号</w:t>
      </w:r>
      <w:bookmarkEnd w:id="63"/>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各省、自治区、直辖市人民政府，国务院各部委、各直属机构：</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党中央、国务院高度重视发展流通扩大消费。近年来，各地区、各部门积极落实中央决策部署，取得良好成效，国内市场保持平稳运行。但受国内外多重因素叠加影响，当前流通消费领域仍面临一些瓶颈和短板，特别是传统流通企业创新转型有待加强，商品和生活服务有效供给不足，消费环境需进一步优化，城乡消费潜力尚需挖掘。为推动流通创新发展，优化消费环境，促进商业繁荣，激发国内消费潜力，更好满足人民群众消费需求，促进国民经济持续健康发展，经国务院同意，现提出以下意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一、促进流通新业态新模式发展。顺应商业变革和消费升级趋势，鼓励运用大数据、云计算、移动互联网等现代信息技术，促进商旅文体等跨界融合，形成更多流通新平台、新业态、新模式。引导电商平台以数据赋能生产企业，促进个性化设计和柔性化生产，培育定制消费、智能消费、信息消费、时尚消费等商业新模式。鼓励发展“互联网+旧货”、“互联网+资源循环”，促进循环消费。实施包容审慎监管，推动流通新业态新模式健康有序发展。</w:t>
      </w:r>
      <w:r>
        <w:rPr>
          <w:rFonts w:hint="eastAsia" w:ascii="楷体" w:hAnsi="楷体" w:eastAsia="楷体" w:cs="楷体"/>
          <w:i w:val="0"/>
          <w:caps w:val="0"/>
          <w:color w:val="333333"/>
          <w:spacing w:val="0"/>
          <w:sz w:val="19"/>
          <w:szCs w:val="19"/>
          <w:shd w:val="clear" w:fill="FFFFFF"/>
        </w:rPr>
        <w:t>（发展改革委、工业和信息化部、生态环境部、商务部、文化和旅游部、市场监管总局、体育总局按职责分工负责）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二、推动传统流通企业创新转型升级。支持线下经营实体加快新理念、新技术、新设计改造提升，向场景化、体验式、互动性、综合型消费场所转型。鼓励经营困难的传统百货店、大型体育场馆、老旧工业厂区等改造为商业综合体、消费体验中心、健身休闲娱乐中心等多功能、综合性新型消费载体。在城市规划调整、公共基础设施配套、改扩建用地保障等方面给予支持。</w:t>
      </w:r>
      <w:r>
        <w:rPr>
          <w:rFonts w:hint="eastAsia" w:ascii="楷体" w:hAnsi="楷体" w:eastAsia="楷体" w:cs="楷体"/>
          <w:i w:val="0"/>
          <w:caps w:val="0"/>
          <w:color w:val="333333"/>
          <w:spacing w:val="0"/>
          <w:sz w:val="19"/>
          <w:szCs w:val="19"/>
          <w:shd w:val="clear" w:fill="FFFFFF"/>
        </w:rPr>
        <w:t>（工业和信息化部、自然资源部、住房城乡建设部、商务部、体育总局按职责分工负责）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三、改造提升商业步行街。地方政府可结合实际对商业步行街基础设施、交通设施、信息平台和诚信体系等新建改建项目予以支持，提升品质化、数字化管理服务水平。在符合公共安全的前提下，支持商业步行街等具备条件的商业街区开展户外营销，营造规范有序、丰富多彩的商业氛围。扩大全国示范步行街改造提升试点范围。</w:t>
      </w:r>
      <w:r>
        <w:rPr>
          <w:rFonts w:hint="eastAsia" w:ascii="楷体" w:hAnsi="楷体" w:eastAsia="楷体" w:cs="楷体"/>
          <w:i w:val="0"/>
          <w:caps w:val="0"/>
          <w:color w:val="333333"/>
          <w:spacing w:val="0"/>
          <w:sz w:val="19"/>
          <w:szCs w:val="19"/>
          <w:shd w:val="clear" w:fill="FFFFFF"/>
        </w:rPr>
        <w:t>（住房城乡建设部、商务部、市场监管总局按职责分工负责）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四、加快连锁便利店发展。深化“放管服”改革，在保障食品安全的前提下，探索进一步优化食品经营许可条件；将智能化、品牌化连锁便利店纳入城市公共服务基础设施体系建设；强化连锁企业总部的管理责任，简化店铺投入使用、营业前消防安全检查，实行告知承诺管理；具备条件的企业从事书报刊发行业务实行“总部审批、单店备案”。支持地方探索对符合条件的品牌连锁企业试行“一照多址”登记。开展简化烟草、乙类非处方药经营审批手续试点。</w:t>
      </w:r>
      <w:r>
        <w:rPr>
          <w:rFonts w:hint="eastAsia" w:ascii="楷体" w:hAnsi="楷体" w:eastAsia="楷体" w:cs="楷体"/>
          <w:i w:val="0"/>
          <w:caps w:val="0"/>
          <w:color w:val="333333"/>
          <w:spacing w:val="0"/>
          <w:sz w:val="19"/>
          <w:szCs w:val="19"/>
          <w:shd w:val="clear" w:fill="FFFFFF"/>
        </w:rPr>
        <w:t>（住房城乡建设部、商务部、应急部、市场监管总局、新闻出版署、烟草局、药监局按职责分工负责）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五、优化社区便民服务设施。打造“互联网+社区”公共服务平台，新建和改造一批社区生活服务中心，统筹社区教育、文化、医疗、养老、家政、体育等生活服务设施建设，改进社会服务，打造便民消费圈。有条件的地区可纳入城镇老旧小区改造范围，给予财政支持，并按规定享受有关税费优惠政策。鼓励社会组织提供社会服务。</w:t>
      </w:r>
      <w:r>
        <w:rPr>
          <w:rFonts w:hint="eastAsia" w:ascii="楷体" w:hAnsi="楷体" w:eastAsia="楷体" w:cs="楷体"/>
          <w:i w:val="0"/>
          <w:caps w:val="0"/>
          <w:color w:val="333333"/>
          <w:spacing w:val="0"/>
          <w:sz w:val="19"/>
          <w:szCs w:val="19"/>
          <w:shd w:val="clear" w:fill="FFFFFF"/>
        </w:rPr>
        <w:t>（发展改革委、教育部、民政部、财政部、住房城乡建设部、商务部、文化和旅游部、卫生健康委、税务总局、体育总局按职责分工负责）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六、加快发展农村流通体系。改造提升农村流通基础设施，促进形成以乡镇为中心的农村流通服务网络。扩大电子商务进农村覆盖面，优化快递服务和互联网接入，培训农村电商人才，提高农村电商发展水平，扩大农村消费。改善提升乡村旅游商品和服务供给，鼓励有条件的地区培育特色农村休闲、旅游、观光等消费市场。</w:t>
      </w:r>
      <w:r>
        <w:rPr>
          <w:rFonts w:hint="eastAsia" w:ascii="楷体" w:hAnsi="楷体" w:eastAsia="楷体" w:cs="楷体"/>
          <w:i w:val="0"/>
          <w:caps w:val="0"/>
          <w:color w:val="333333"/>
          <w:spacing w:val="0"/>
          <w:sz w:val="19"/>
          <w:szCs w:val="19"/>
          <w:shd w:val="clear" w:fill="FFFFFF"/>
        </w:rPr>
        <w:t>（发展改革委、工业和信息化部、农业农村部、商务部、文化和旅游部、邮政局按职责分工负责）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七、扩大农产品流通。加快农产品产地市场体系建设，实施“互联网+”农产品出村进城工程，加快发展农产品冷链物流，完善农产品流通体系，加大农产品分拣、加工、包装、预冷等一体化集配设施建设支持力度，加强特色农产品优势区生产基地现代流通基础设施建设。拓宽绿色、生态产品线上线下销售渠道，丰富城乡市场供给，扩大鲜活农产品消费。</w:t>
      </w:r>
      <w:r>
        <w:rPr>
          <w:rFonts w:hint="eastAsia" w:ascii="楷体" w:hAnsi="楷体" w:eastAsia="楷体" w:cs="楷体"/>
          <w:i w:val="0"/>
          <w:caps w:val="0"/>
          <w:color w:val="333333"/>
          <w:spacing w:val="0"/>
          <w:sz w:val="19"/>
          <w:szCs w:val="19"/>
          <w:shd w:val="clear" w:fill="FFFFFF"/>
        </w:rPr>
        <w:t>（发展改革委、财政部、农业农村部、商务部按职责分工负责）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八、拓展出口产品内销渠道。推动扩大内外销产品“同线同标同质”实施范围，引导出口企业打造自有品牌，拓展内销市场网络。在综合保税区积极推广增值税一般纳税人资格试点，落实允许综合保税区内加工制造企业承接境内区外委托加工业务的政策。</w:t>
      </w:r>
      <w:r>
        <w:rPr>
          <w:rFonts w:hint="eastAsia" w:ascii="楷体" w:hAnsi="楷体" w:eastAsia="楷体" w:cs="楷体"/>
          <w:i w:val="0"/>
          <w:caps w:val="0"/>
          <w:color w:val="333333"/>
          <w:spacing w:val="0"/>
          <w:sz w:val="19"/>
          <w:szCs w:val="19"/>
          <w:shd w:val="clear" w:fill="FFFFFF"/>
        </w:rPr>
        <w:t>（财政部、商务部、海关总署、税务总局、市场监管总局按职责分工负责）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九、满足优质国外商品消费需求。允许在海关特殊监管区域内设立保税展示交易平台。统筹考虑自贸试验区、综合保税区发展特点和趋势，扩大跨境电商零售进口试点城市范围，顺应商品消费升级趋势，抓紧调整扩大跨境电商零售进口商品清单。</w:t>
      </w:r>
      <w:r>
        <w:rPr>
          <w:rFonts w:hint="eastAsia" w:ascii="楷体" w:hAnsi="楷体" w:eastAsia="楷体" w:cs="楷体"/>
          <w:i w:val="0"/>
          <w:caps w:val="0"/>
          <w:color w:val="333333"/>
          <w:spacing w:val="0"/>
          <w:sz w:val="19"/>
          <w:szCs w:val="19"/>
          <w:shd w:val="clear" w:fill="FFFFFF"/>
        </w:rPr>
        <w:t>（财政部、商务部、海关总署、税务总局按职责分工负责）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十、释放汽车消费潜力。实施汽车限购的地区要结合实际情况，探索推行逐步放宽或取消限购的具体措施。有条件的地方对购置新能源汽车给予积极支持。促进二手车流通，进一步落实全面取消二手车限迁政策，大气污染防治重点区域应允许符合在用车排放标准的二手车在本省（市）内交易流通。</w:t>
      </w:r>
      <w:r>
        <w:rPr>
          <w:rFonts w:hint="eastAsia" w:ascii="楷体" w:hAnsi="楷体" w:eastAsia="楷体" w:cs="楷体"/>
          <w:i w:val="0"/>
          <w:caps w:val="0"/>
          <w:color w:val="333333"/>
          <w:spacing w:val="0"/>
          <w:sz w:val="19"/>
          <w:szCs w:val="19"/>
          <w:shd w:val="clear" w:fill="FFFFFF"/>
        </w:rPr>
        <w:t>（工业和信息化部、公安部、生态环境部、交通运输部、商务部按职责分工负责）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十一、支持绿色智能商品以旧换新。鼓励具备条件的流通企业回收消费者淘汰的废旧电子电器产品，折价置换超高清电视、节能冰箱、洗衣机、空调、智能手机等绿色、节能、智能电子电器产品，扩大绿色智能消费。有条件的地方对开展相关产品促销活动、建设信息平台和回收体系等给予一定支持。</w:t>
      </w:r>
      <w:r>
        <w:rPr>
          <w:rFonts w:hint="eastAsia" w:ascii="楷体" w:hAnsi="楷体" w:eastAsia="楷体" w:cs="楷体"/>
          <w:i w:val="0"/>
          <w:caps w:val="0"/>
          <w:color w:val="333333"/>
          <w:spacing w:val="0"/>
          <w:sz w:val="19"/>
          <w:szCs w:val="19"/>
          <w:shd w:val="clear" w:fill="FFFFFF"/>
        </w:rPr>
        <w:t>（工业和信息化部、生态环境部、商务部按职责分工负责）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十二、活跃夜间商业和市场。鼓励主要商圈和特色商业街与文化、旅游、休闲等紧密结合，适当延长营业时间，开设深夜营业专区、24小时便利店和“深夜食堂”等特色餐饮街区。有条件的地方可加大投入，打造夜间消费场景和集聚区，完善夜间交通、安全、环境等配套措施，提高夜间消费便利度和活跃度。</w:t>
      </w:r>
      <w:r>
        <w:rPr>
          <w:rFonts w:hint="eastAsia" w:ascii="楷体" w:hAnsi="楷体" w:eastAsia="楷体" w:cs="楷体"/>
          <w:i w:val="0"/>
          <w:caps w:val="0"/>
          <w:color w:val="333333"/>
          <w:spacing w:val="0"/>
          <w:sz w:val="19"/>
          <w:szCs w:val="19"/>
          <w:shd w:val="clear" w:fill="FFFFFF"/>
        </w:rPr>
        <w:t>（住房城乡建设部、交通运输部、商务部、文化和旅游部、应急部按职责分工负责）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十三、拓宽假日消费空间。鼓励有条件的地方充分利用开放性公共空间，开设节假日步行街、周末大集、休闲文体专区等常态化消费场所，组织开展特色促消费活动，探索培育专业化经营管理主体。地方政府要结合实际给予规划引导、场地设施、交通安全保障等方面支持。</w:t>
      </w:r>
      <w:r>
        <w:rPr>
          <w:rFonts w:hint="eastAsia" w:ascii="楷体" w:hAnsi="楷体" w:eastAsia="楷体" w:cs="楷体"/>
          <w:i w:val="0"/>
          <w:caps w:val="0"/>
          <w:color w:val="333333"/>
          <w:spacing w:val="0"/>
          <w:sz w:val="19"/>
          <w:szCs w:val="19"/>
          <w:shd w:val="clear" w:fill="FFFFFF"/>
        </w:rPr>
        <w:t>（住房城乡建设部、交通运输部、商务部、文化和旅游部、应急部、市场监管总局按职责分工负责）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十四、搭建品牌商品营销平台。积极培育形成若干国际消费中心城市，引导自主品牌提升市场影响力和认知度，推动国内销售的国际品牌与发达国家市场在品质价格、上市时间、售后服务等方面同步接轨。因地制宜，创造条件，吸引知名品牌开设首店、首发新品，带动扩大消费，促进国内产业升级。保护和发展中华老字号品牌，对于中华老字号中确需保护的传统技艺，可按相关规定申请非物质文化遗产保护相关资金。</w:t>
      </w:r>
      <w:r>
        <w:rPr>
          <w:rFonts w:hint="eastAsia" w:ascii="楷体" w:hAnsi="楷体" w:eastAsia="楷体" w:cs="楷体"/>
          <w:i w:val="0"/>
          <w:caps w:val="0"/>
          <w:color w:val="333333"/>
          <w:spacing w:val="0"/>
          <w:sz w:val="19"/>
          <w:szCs w:val="19"/>
          <w:shd w:val="clear" w:fill="FFFFFF"/>
        </w:rPr>
        <w:t>（商务部、文化和旅游部、市场监管总局按职责分工负责）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十五、降低流通企业成本费用。推动工商用电同价政策尽快全面落实。各地不得干预连锁企业依法申请和享受总分机构汇总纳税政策。</w:t>
      </w:r>
      <w:r>
        <w:rPr>
          <w:rFonts w:hint="eastAsia" w:ascii="楷体" w:hAnsi="楷体" w:eastAsia="楷体" w:cs="楷体"/>
          <w:i w:val="0"/>
          <w:caps w:val="0"/>
          <w:color w:val="333333"/>
          <w:spacing w:val="0"/>
          <w:sz w:val="19"/>
          <w:szCs w:val="19"/>
          <w:shd w:val="clear" w:fill="FFFFFF"/>
        </w:rPr>
        <w:t>（发展改革委、财政部、税务总局按职责分工负责）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十六、鼓励流通企业研发创新。研究进一步扩大研发费用税前加计扣除政策适用范围。加大对国内不能生产、行业企业急需的高性能物流设备进口的支持力度，降低物流成本；研究将相关领域纳入《产业结构调整指导目录》“鼓励类”，推动先进物流装备产业发展，加快推进现代物流发展。</w:t>
      </w:r>
      <w:r>
        <w:rPr>
          <w:rFonts w:hint="eastAsia" w:ascii="楷体" w:hAnsi="楷体" w:eastAsia="楷体" w:cs="楷体"/>
          <w:i w:val="0"/>
          <w:caps w:val="0"/>
          <w:color w:val="333333"/>
          <w:spacing w:val="0"/>
          <w:sz w:val="19"/>
          <w:szCs w:val="19"/>
          <w:shd w:val="clear" w:fill="FFFFFF"/>
        </w:rPr>
        <w:t>（发展改革委、科技部、财政部、商务部、税务总局按职责分工负责）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十七、扩大成品油市场准入。取消石油成品油批发仓储经营资格审批，将成品油零售经营资格审批下放至地市级人民政府，加强成品油流通事中事后监管，强化安全保障措施落实。乡镇以下具备条件的地区建设加油站、加气站、充电站等可使用存量集体建设用地，扩大成品油市场消费。</w:t>
      </w:r>
      <w:r>
        <w:rPr>
          <w:rFonts w:hint="eastAsia" w:ascii="楷体" w:hAnsi="楷体" w:eastAsia="楷体" w:cs="楷体"/>
          <w:i w:val="0"/>
          <w:caps w:val="0"/>
          <w:color w:val="333333"/>
          <w:spacing w:val="0"/>
          <w:sz w:val="19"/>
          <w:szCs w:val="19"/>
          <w:shd w:val="clear" w:fill="FFFFFF"/>
        </w:rPr>
        <w:t>（发展改革委、自然资源部、生态环境部、住房城乡建设部、交通运输部、商务部、应急部、海关总署、市场监管总局按职责分工负责）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十八、发挥财政资金引导作用。统筹用好中央财政服务业发展资金等现有专项资金或政策，补齐流通领域短板。各地可因地制宜，加强对创新发展流通、促进扩大消费的财政支持。</w:t>
      </w:r>
      <w:r>
        <w:rPr>
          <w:rFonts w:hint="eastAsia" w:ascii="楷体" w:hAnsi="楷体" w:eastAsia="楷体" w:cs="楷体"/>
          <w:i w:val="0"/>
          <w:caps w:val="0"/>
          <w:color w:val="333333"/>
          <w:spacing w:val="0"/>
          <w:sz w:val="19"/>
          <w:szCs w:val="19"/>
          <w:shd w:val="clear" w:fill="FFFFFF"/>
        </w:rPr>
        <w:t>（财政部、商务部按职责分工负责）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十九、加大金融支持力度。鼓励金融机构创新消费信贷产品和服务，推动专业化消费金融组织发展。鼓励金融机构对居民购买新能源汽车、绿色智能家电、智能家居、节水器具等绿色智能产品提供信贷支持，加大对新消费领域金融支持力度。</w:t>
      </w:r>
      <w:r>
        <w:rPr>
          <w:rFonts w:hint="eastAsia" w:ascii="楷体" w:hAnsi="楷体" w:eastAsia="楷体" w:cs="楷体"/>
          <w:i w:val="0"/>
          <w:caps w:val="0"/>
          <w:color w:val="333333"/>
          <w:spacing w:val="0"/>
          <w:sz w:val="19"/>
          <w:szCs w:val="19"/>
          <w:shd w:val="clear" w:fill="FFFFFF"/>
        </w:rPr>
        <w:t>（人民银行、银保监会按职责分工负责）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二十、优化市场流通环境。强化消费信用体系建设，加快建设覆盖线上线下的重要产品追溯体系。严厉打击线上线下销售侵权假冒商品、发布虚假广告等违法行为，针对食品、药品、汽车配件、小家电等消费品，加大农村和城乡结合部市场治理力度。修订汽车、平板电视等消费品修理更换退货责任规定。积极倡导企业实行无理由退货制度。</w:t>
      </w:r>
      <w:r>
        <w:rPr>
          <w:rFonts w:hint="eastAsia" w:ascii="楷体" w:hAnsi="楷体" w:eastAsia="楷体" w:cs="楷体"/>
          <w:i w:val="0"/>
          <w:caps w:val="0"/>
          <w:color w:val="333333"/>
          <w:spacing w:val="0"/>
          <w:sz w:val="19"/>
          <w:szCs w:val="19"/>
          <w:shd w:val="clear" w:fill="FFFFFF"/>
        </w:rPr>
        <w:t>（发展改革委、工业和信息化部、公安部、农业农村部、商务部、应急部、海关总署、市场监管总局、药监局按职责分工负责）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各地区、各有关部门要充分认识创新发展流通、推动消费升级、促进扩大消费的重要意义，切实抓好各项政策措施的落实落地。各地区要结合本地实际完善政策措施，认真组织实施。各有关部门要落实责任，加强协作，形成合力，确保推动各项政策措施落实到位。</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19"/>
          <w:szCs w:val="19"/>
          <w:shd w:val="clear" w:fill="FFFFFF"/>
        </w:rPr>
      </w:pPr>
      <w:r>
        <w:rPr>
          <w:rFonts w:hint="eastAsia" w:ascii="宋体" w:hAnsi="宋体" w:eastAsia="宋体" w:cs="宋体"/>
          <w:i w:val="0"/>
          <w:caps w:val="0"/>
          <w:color w:val="333333"/>
          <w:spacing w:val="0"/>
          <w:sz w:val="19"/>
          <w:szCs w:val="19"/>
          <w:shd w:val="clear" w:fill="FFFFFF"/>
        </w:rPr>
        <w:t xml:space="preserve">国务院办公厅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2019年8月16日</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21"/>
          <w:szCs w:val="21"/>
          <w:shd w:val="clear"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21"/>
          <w:szCs w:val="21"/>
          <w:shd w:val="clear"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21"/>
          <w:szCs w:val="21"/>
          <w:shd w:val="clear" w:fill="FFFFFF"/>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宋体" w:hAnsi="宋体" w:eastAsia="宋体" w:cs="宋体"/>
          <w:b/>
          <w:i w:val="0"/>
          <w:caps w:val="0"/>
          <w:color w:val="333333"/>
          <w:spacing w:val="0"/>
          <w:sz w:val="30"/>
          <w:szCs w:val="30"/>
          <w:shd w:val="clear" w:fill="FFFFFF"/>
        </w:rPr>
      </w:pPr>
      <w:bookmarkStart w:id="64" w:name="_Toc23172"/>
      <w:r>
        <w:rPr>
          <w:rFonts w:hint="eastAsia" w:ascii="宋体" w:hAnsi="宋体" w:eastAsia="宋体" w:cs="宋体"/>
          <w:b/>
          <w:i w:val="0"/>
          <w:caps w:val="0"/>
          <w:color w:val="333333"/>
          <w:spacing w:val="0"/>
          <w:sz w:val="30"/>
          <w:szCs w:val="30"/>
          <w:shd w:val="clear" w:fill="FFFFFF"/>
        </w:rPr>
        <w:t>国务院关于调整工业产品生产许可证管理目录加强事中事后监管的决定</w:t>
      </w:r>
      <w:bookmarkEnd w:id="64"/>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楷体" w:hAnsi="楷体" w:eastAsia="楷体" w:cs="楷体"/>
          <w:i w:val="0"/>
          <w:caps w:val="0"/>
          <w:color w:val="333333"/>
          <w:spacing w:val="0"/>
          <w:sz w:val="24"/>
          <w:szCs w:val="24"/>
          <w:shd w:val="clear" w:fill="FFFFFF"/>
        </w:rPr>
      </w:pPr>
      <w:bookmarkStart w:id="65" w:name="_Toc7219"/>
      <w:r>
        <w:rPr>
          <w:rFonts w:hint="eastAsia" w:ascii="楷体" w:hAnsi="楷体" w:eastAsia="楷体" w:cs="楷体"/>
          <w:i w:val="0"/>
          <w:caps w:val="0"/>
          <w:color w:val="333333"/>
          <w:spacing w:val="0"/>
          <w:sz w:val="24"/>
          <w:szCs w:val="24"/>
          <w:shd w:val="clear" w:fill="FFFFFF"/>
        </w:rPr>
        <w:t>国发〔2019〕19号</w:t>
      </w:r>
      <w:bookmarkEnd w:id="65"/>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各省、自治区、直辖市人民政府，国务院各部委、各直属机构：</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经研究论证，国务院决定，压减工业产品生产许可证管理目录，取消内燃机、汽车制动液等13类工业产品生产许可证管理，将卫星电视广播地面接收设备与无线广播电视发射设备2类产品压减合并为1类，对其中涉及安全、健康、环保的，转为强制性产品认证管理，认证费用由财政负担。调整后继续实施工业产品生产许可证管理的产品共计10类，其中，由国家市场监督管理总局实施的5类，由省级市场监督管理部门实施的5类。</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各地区、各有关部门要督促企业严格履行主体责任，强化信用监督和约束手段，对通过告知承诺和后置现场审查方式取得生产许可证的企业，发现以欺骗手段取得的，依法严肃处理。要研究建立质量追溯体系和奖励举报制度，对恶意违法行为依法严惩重罚。相关企业要切实承担质量安全管理责任，建立健全产品质量验收、检验检测和售后服务等制度，确保产品符合相关标准要求。</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各地区、各有关部门要抓紧做好工业产品生产许可证管理目录调整工作，减证不减责任，全面加强事中事后监管，按照“谁审批谁监管、谁主管谁监管”的原则，认真履行监管责任，及时有效防范和化解风险。对继续实施生产许可证管理的产品，要完善对企业现场审查和检查的技术规范，以“双随机、一公开”监管为手段，进一步加强和规范对获证企业的日常检查，对问题线索企业实施飞行检查。对取消生产许可证管理的产品，要充分利用信息化手段，建立健全检验检测机构、科研院所、行业协会等广泛参与的质量安全监测预警机制。要完善问题导向的监督抽查机制，加大对取消生产许可证管理产品的监督抽查力度，扩大重点产品、重点领域监督抽查覆盖面和增加频次，依法及时公开抽查信息，加大对不合格产品的查处力度，对存在行业性、苗头性质量安全风险的产品开展专项整治。要加快制修订产业发展和监管工作急需的标准，严格落实认证机构对认证结果的主体责任和对产品质量持续符合认证要求的连带责任，鼓励相关行业、用户采信认证结果，充分发挥行业监管、社会监督作用，推动构建以标准引领、企业履责、政府监管为基础的管理体系，确保工业产品质量安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附件：1.工业产品生产许可证取消、合并管理的产品目录（共计15类）</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　　　2.调整后继续实施工业产品生产许可证管理的产品目录（共计10类）</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国务院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2019年9月8日</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（此件公开发布）</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附件1</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shd w:val="clear" w:fill="FFFFFF"/>
        </w:rPr>
        <w:t>工业产品生产许可证取消、合并</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left="0" w:right="0" w:firstLine="0"/>
        <w:jc w:val="center"/>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shd w:val="clear" w:fill="FFFFFF"/>
        </w:rPr>
        <w:t>管理的产品目录（共计15类）</w:t>
      </w:r>
    </w:p>
    <w:tbl>
      <w:tblPr>
        <w:tblStyle w:val="21"/>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92"/>
        <w:gridCol w:w="2363"/>
        <w:gridCol w:w="2359"/>
        <w:gridCol w:w="355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b/>
                <w:kern w:val="0"/>
                <w:sz w:val="20"/>
                <w:szCs w:val="20"/>
                <w:lang w:val="en-US" w:eastAsia="zh-CN" w:bidi="ar"/>
              </w:rPr>
              <w:t>序号</w:t>
            </w:r>
          </w:p>
        </w:tc>
        <w:tc>
          <w:tcPr>
            <w:tcW w:w="236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b/>
                <w:kern w:val="0"/>
                <w:sz w:val="20"/>
                <w:szCs w:val="20"/>
                <w:lang w:val="en-US" w:eastAsia="zh-CN" w:bidi="ar"/>
              </w:rPr>
              <w:t>产品名称</w:t>
            </w:r>
          </w:p>
        </w:tc>
        <w:tc>
          <w:tcPr>
            <w:tcW w:w="235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b/>
                <w:kern w:val="0"/>
                <w:sz w:val="20"/>
                <w:szCs w:val="20"/>
                <w:lang w:val="en-US" w:eastAsia="zh-CN" w:bidi="ar"/>
              </w:rPr>
              <w:t>目前实施机关</w:t>
            </w:r>
          </w:p>
        </w:tc>
        <w:tc>
          <w:tcPr>
            <w:tcW w:w="355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b/>
                <w:kern w:val="0"/>
                <w:sz w:val="20"/>
                <w:szCs w:val="20"/>
                <w:lang w:val="en-US" w:eastAsia="zh-CN" w:bidi="ar"/>
              </w:rPr>
              <w:t>调整情况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1</w:t>
            </w:r>
          </w:p>
        </w:tc>
        <w:tc>
          <w:tcPr>
            <w:tcW w:w="236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轴承钢材</w:t>
            </w:r>
          </w:p>
        </w:tc>
        <w:tc>
          <w:tcPr>
            <w:tcW w:w="23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国家市场监督管理总局</w:t>
            </w:r>
          </w:p>
        </w:tc>
        <w:tc>
          <w:tcPr>
            <w:tcW w:w="355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取消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2</w:t>
            </w:r>
          </w:p>
        </w:tc>
        <w:tc>
          <w:tcPr>
            <w:tcW w:w="236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防伪技术产品</w:t>
            </w:r>
          </w:p>
        </w:tc>
        <w:tc>
          <w:tcPr>
            <w:tcW w:w="23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省级市场监督管理部门</w:t>
            </w:r>
          </w:p>
        </w:tc>
        <w:tc>
          <w:tcPr>
            <w:tcW w:w="355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取消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3</w:t>
            </w:r>
          </w:p>
        </w:tc>
        <w:tc>
          <w:tcPr>
            <w:tcW w:w="236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摩擦材料及密封制品</w:t>
            </w:r>
            <w:r>
              <w:rPr>
                <w:rFonts w:hint="default" w:ascii="Calibri" w:hAnsi="Calibri" w:eastAsia="宋体" w:cs="Calibri"/>
                <w:kern w:val="0"/>
                <w:sz w:val="20"/>
                <w:szCs w:val="20"/>
                <w:lang w:val="en-US" w:eastAsia="zh-CN" w:bidi="ar"/>
              </w:rPr>
              <w:t>*</w:t>
            </w:r>
          </w:p>
        </w:tc>
        <w:tc>
          <w:tcPr>
            <w:tcW w:w="23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省级市场监督管理部门</w:t>
            </w:r>
          </w:p>
        </w:tc>
        <w:tc>
          <w:tcPr>
            <w:tcW w:w="355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取消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4</w:t>
            </w:r>
          </w:p>
        </w:tc>
        <w:tc>
          <w:tcPr>
            <w:tcW w:w="236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公路桥梁支座</w:t>
            </w:r>
          </w:p>
        </w:tc>
        <w:tc>
          <w:tcPr>
            <w:tcW w:w="23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省级市场监督管理部门</w:t>
            </w:r>
          </w:p>
        </w:tc>
        <w:tc>
          <w:tcPr>
            <w:tcW w:w="355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取消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5</w:t>
            </w:r>
          </w:p>
        </w:tc>
        <w:tc>
          <w:tcPr>
            <w:tcW w:w="236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内燃机</w:t>
            </w:r>
          </w:p>
        </w:tc>
        <w:tc>
          <w:tcPr>
            <w:tcW w:w="23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省级市场监督管理部门</w:t>
            </w:r>
          </w:p>
        </w:tc>
        <w:tc>
          <w:tcPr>
            <w:tcW w:w="355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取消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6</w:t>
            </w:r>
          </w:p>
        </w:tc>
        <w:tc>
          <w:tcPr>
            <w:tcW w:w="236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砂轮</w:t>
            </w:r>
          </w:p>
        </w:tc>
        <w:tc>
          <w:tcPr>
            <w:tcW w:w="23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省级市场监督管理部门</w:t>
            </w:r>
          </w:p>
        </w:tc>
        <w:tc>
          <w:tcPr>
            <w:tcW w:w="355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取消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7</w:t>
            </w:r>
          </w:p>
        </w:tc>
        <w:tc>
          <w:tcPr>
            <w:tcW w:w="236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钢丝绳</w:t>
            </w:r>
          </w:p>
        </w:tc>
        <w:tc>
          <w:tcPr>
            <w:tcW w:w="23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省级市场监督管理部门</w:t>
            </w:r>
          </w:p>
        </w:tc>
        <w:tc>
          <w:tcPr>
            <w:tcW w:w="355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取消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8</w:t>
            </w:r>
          </w:p>
        </w:tc>
        <w:tc>
          <w:tcPr>
            <w:tcW w:w="236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预应力混凝土用钢材</w:t>
            </w:r>
          </w:p>
        </w:tc>
        <w:tc>
          <w:tcPr>
            <w:tcW w:w="23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省级市场监督管理部门</w:t>
            </w:r>
          </w:p>
        </w:tc>
        <w:tc>
          <w:tcPr>
            <w:tcW w:w="355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取消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9</w:t>
            </w:r>
          </w:p>
        </w:tc>
        <w:tc>
          <w:tcPr>
            <w:tcW w:w="236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预应力混凝土枕</w:t>
            </w:r>
          </w:p>
        </w:tc>
        <w:tc>
          <w:tcPr>
            <w:tcW w:w="23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省级市场监督管理部门</w:t>
            </w:r>
          </w:p>
        </w:tc>
        <w:tc>
          <w:tcPr>
            <w:tcW w:w="355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取消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10</w:t>
            </w:r>
          </w:p>
        </w:tc>
        <w:tc>
          <w:tcPr>
            <w:tcW w:w="236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特种劳动防护用品</w:t>
            </w:r>
          </w:p>
        </w:tc>
        <w:tc>
          <w:tcPr>
            <w:tcW w:w="23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省级市场监督管理部门</w:t>
            </w:r>
          </w:p>
        </w:tc>
        <w:tc>
          <w:tcPr>
            <w:tcW w:w="355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取消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11</w:t>
            </w:r>
          </w:p>
        </w:tc>
        <w:tc>
          <w:tcPr>
            <w:tcW w:w="236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耐火材料</w:t>
            </w:r>
          </w:p>
        </w:tc>
        <w:tc>
          <w:tcPr>
            <w:tcW w:w="23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省级市场监督管理部门</w:t>
            </w:r>
          </w:p>
        </w:tc>
        <w:tc>
          <w:tcPr>
            <w:tcW w:w="355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取消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12</w:t>
            </w:r>
          </w:p>
        </w:tc>
        <w:tc>
          <w:tcPr>
            <w:tcW w:w="236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建筑防水卷材</w:t>
            </w:r>
          </w:p>
        </w:tc>
        <w:tc>
          <w:tcPr>
            <w:tcW w:w="23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省级市场监督管理部门</w:t>
            </w:r>
          </w:p>
        </w:tc>
        <w:tc>
          <w:tcPr>
            <w:tcW w:w="355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取消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13</w:t>
            </w:r>
          </w:p>
        </w:tc>
        <w:tc>
          <w:tcPr>
            <w:tcW w:w="236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汽车制动液</w:t>
            </w:r>
          </w:p>
        </w:tc>
        <w:tc>
          <w:tcPr>
            <w:tcW w:w="23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省级市场监督管理部门</w:t>
            </w:r>
          </w:p>
        </w:tc>
        <w:tc>
          <w:tcPr>
            <w:tcW w:w="355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取消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14</w:t>
            </w:r>
          </w:p>
        </w:tc>
        <w:tc>
          <w:tcPr>
            <w:tcW w:w="236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卫星电视广播地面接收设备</w:t>
            </w:r>
          </w:p>
        </w:tc>
        <w:tc>
          <w:tcPr>
            <w:tcW w:w="23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国家市场监督管理总局</w:t>
            </w:r>
          </w:p>
        </w:tc>
        <w:tc>
          <w:tcPr>
            <w:tcW w:w="355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取消室外单元等单元，与无线广播电视发射设备合并为广播电视传输设备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15</w:t>
            </w:r>
          </w:p>
        </w:tc>
        <w:tc>
          <w:tcPr>
            <w:tcW w:w="236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无线广播电视发射设备</w:t>
            </w:r>
          </w:p>
        </w:tc>
        <w:tc>
          <w:tcPr>
            <w:tcW w:w="23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国家市场监督管理总局</w:t>
            </w:r>
          </w:p>
        </w:tc>
        <w:tc>
          <w:tcPr>
            <w:tcW w:w="355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取消发射天线等单元，与卫星电视广播地面接收设备合并为广播电视传输设备</w:t>
            </w:r>
          </w:p>
        </w:tc>
      </w:tr>
    </w:tbl>
    <w:p>
      <w:pPr>
        <w:keepNext w:val="0"/>
        <w:keepLines w:val="0"/>
        <w:widowControl/>
        <w:suppressLineNumbers w:val="0"/>
        <w:jc w:val="left"/>
      </w:pPr>
      <w:r>
        <w:rPr>
          <w:rFonts w:hint="eastAsia" w:ascii="宋体" w:hAnsi="宋体" w:eastAsia="宋体" w:cs="宋体"/>
          <w:i w:val="0"/>
          <w:caps w:val="0"/>
          <w:color w:val="333333"/>
          <w:spacing w:val="0"/>
          <w:kern w:val="0"/>
          <w:sz w:val="20"/>
          <w:szCs w:val="20"/>
          <w:shd w:val="clear" w:fill="FFFFFF"/>
          <w:lang w:val="en-US" w:eastAsia="zh-CN" w:bidi="ar"/>
        </w:rPr>
        <w:t>　　*“摩擦材料及密封制品”中的刹车片产品需在完成相关程序后转为强制性产品认证管理，在此之前仍对其实施生产许可证管理。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9"/>
          <w:szCs w:val="19"/>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附件2</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19"/>
          <w:szCs w:val="19"/>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i w:val="0"/>
          <w:caps w:val="0"/>
          <w:color w:val="333333"/>
          <w:spacing w:val="0"/>
          <w:sz w:val="28"/>
          <w:szCs w:val="28"/>
          <w:shd w:val="clear" w:fill="FFFFFF"/>
        </w:rPr>
      </w:pPr>
      <w:r>
        <w:rPr>
          <w:rFonts w:hint="eastAsia" w:ascii="宋体" w:hAnsi="宋体" w:eastAsia="宋体" w:cs="宋体"/>
          <w:b/>
          <w:i w:val="0"/>
          <w:caps w:val="0"/>
          <w:color w:val="333333"/>
          <w:spacing w:val="0"/>
          <w:sz w:val="28"/>
          <w:szCs w:val="28"/>
          <w:shd w:val="clear" w:fill="FFFFFF"/>
        </w:rPr>
        <w:t>调整后继续实施工业产品生产许可证 </w:t>
      </w:r>
      <w:r>
        <w:rPr>
          <w:rFonts w:hint="eastAsia" w:ascii="宋体" w:hAnsi="宋体" w:eastAsia="宋体" w:cs="宋体"/>
          <w:b/>
          <w:i w:val="0"/>
          <w:caps w:val="0"/>
          <w:color w:val="333333"/>
          <w:spacing w:val="0"/>
          <w:sz w:val="28"/>
          <w:szCs w:val="28"/>
          <w:shd w:val="clear" w:fill="FFFFFF"/>
        </w:rPr>
        <w:br w:type="textWrapping"/>
      </w:r>
      <w:r>
        <w:rPr>
          <w:rFonts w:hint="eastAsia" w:ascii="宋体" w:hAnsi="宋体" w:eastAsia="宋体" w:cs="宋体"/>
          <w:b/>
          <w:i w:val="0"/>
          <w:caps w:val="0"/>
          <w:color w:val="333333"/>
          <w:spacing w:val="0"/>
          <w:sz w:val="28"/>
          <w:szCs w:val="28"/>
          <w:shd w:val="clear" w:fill="FFFFFF"/>
        </w:rPr>
        <w:t>管理的产品目录（共计10类）</w:t>
      </w:r>
    </w:p>
    <w:tbl>
      <w:tblPr>
        <w:tblStyle w:val="21"/>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92"/>
        <w:gridCol w:w="4055"/>
        <w:gridCol w:w="422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b/>
                <w:kern w:val="0"/>
                <w:sz w:val="20"/>
                <w:szCs w:val="20"/>
                <w:lang w:val="en-US" w:eastAsia="zh-CN" w:bidi="ar"/>
              </w:rPr>
              <w:t>序号</w:t>
            </w:r>
          </w:p>
        </w:tc>
        <w:tc>
          <w:tcPr>
            <w:tcW w:w="4055"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b/>
                <w:kern w:val="0"/>
                <w:sz w:val="20"/>
                <w:szCs w:val="20"/>
                <w:lang w:val="en-US" w:eastAsia="zh-CN" w:bidi="ar"/>
              </w:rPr>
              <w:t>产品名称</w:t>
            </w:r>
          </w:p>
        </w:tc>
        <w:tc>
          <w:tcPr>
            <w:tcW w:w="4224"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b/>
                <w:kern w:val="0"/>
                <w:sz w:val="20"/>
                <w:szCs w:val="20"/>
                <w:lang w:val="en-US" w:eastAsia="zh-CN" w:bidi="ar"/>
              </w:rPr>
              <w:t>实施机关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1</w:t>
            </w:r>
          </w:p>
        </w:tc>
        <w:tc>
          <w:tcPr>
            <w:tcW w:w="405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default"/>
              </w:rPr>
            </w:pPr>
            <w:r>
              <w:rPr>
                <w:rFonts w:hint="eastAsia" w:ascii="宋体" w:hAnsi="宋体" w:eastAsia="宋体" w:cs="宋体"/>
                <w:kern w:val="0"/>
                <w:sz w:val="20"/>
                <w:szCs w:val="20"/>
                <w:lang w:val="en-US" w:eastAsia="zh-CN" w:bidi="ar"/>
              </w:rPr>
              <w:t>建筑用钢筋</w:t>
            </w:r>
          </w:p>
        </w:tc>
        <w:tc>
          <w:tcPr>
            <w:tcW w:w="422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国家市场监督管理总局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2</w:t>
            </w:r>
          </w:p>
        </w:tc>
        <w:tc>
          <w:tcPr>
            <w:tcW w:w="405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default"/>
              </w:rPr>
            </w:pPr>
            <w:r>
              <w:rPr>
                <w:rFonts w:hint="eastAsia" w:ascii="宋体" w:hAnsi="宋体" w:eastAsia="宋体" w:cs="宋体"/>
                <w:kern w:val="0"/>
                <w:sz w:val="20"/>
                <w:szCs w:val="20"/>
                <w:lang w:val="en-US" w:eastAsia="zh-CN" w:bidi="ar"/>
              </w:rPr>
              <w:t>水泥</w:t>
            </w:r>
          </w:p>
        </w:tc>
        <w:tc>
          <w:tcPr>
            <w:tcW w:w="422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国家市场监督管理总局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3</w:t>
            </w:r>
          </w:p>
        </w:tc>
        <w:tc>
          <w:tcPr>
            <w:tcW w:w="405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default"/>
              </w:rPr>
            </w:pPr>
            <w:r>
              <w:rPr>
                <w:rFonts w:hint="eastAsia" w:ascii="宋体" w:hAnsi="宋体" w:eastAsia="宋体" w:cs="宋体"/>
                <w:kern w:val="0"/>
                <w:sz w:val="20"/>
                <w:szCs w:val="20"/>
                <w:lang w:val="en-US" w:eastAsia="zh-CN" w:bidi="ar"/>
              </w:rPr>
              <w:t>广播电视传输设备</w:t>
            </w:r>
          </w:p>
        </w:tc>
        <w:tc>
          <w:tcPr>
            <w:tcW w:w="422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国家市场监督管理总局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4</w:t>
            </w:r>
          </w:p>
        </w:tc>
        <w:tc>
          <w:tcPr>
            <w:tcW w:w="405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default"/>
              </w:rPr>
            </w:pPr>
            <w:r>
              <w:rPr>
                <w:rFonts w:hint="eastAsia" w:ascii="宋体" w:hAnsi="宋体" w:eastAsia="宋体" w:cs="宋体"/>
                <w:kern w:val="0"/>
                <w:sz w:val="20"/>
                <w:szCs w:val="20"/>
                <w:lang w:val="en-US" w:eastAsia="zh-CN" w:bidi="ar"/>
              </w:rPr>
              <w:t>人民币鉴别仪</w:t>
            </w:r>
          </w:p>
        </w:tc>
        <w:tc>
          <w:tcPr>
            <w:tcW w:w="422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国家市场监督管理总局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2" w:type="dxa"/>
            <w:tcBorders>
              <w:top w:val="nil"/>
              <w:left w:val="single" w:color="auto" w:sz="8" w:space="0"/>
              <w:bottom w:val="single" w:color="auto" w:sz="4"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5</w:t>
            </w:r>
          </w:p>
        </w:tc>
        <w:tc>
          <w:tcPr>
            <w:tcW w:w="4055" w:type="dxa"/>
            <w:tcBorders>
              <w:top w:val="nil"/>
              <w:left w:val="nil"/>
              <w:bottom w:val="single" w:color="auto" w:sz="4"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default"/>
              </w:rPr>
            </w:pPr>
            <w:r>
              <w:rPr>
                <w:rFonts w:hint="eastAsia" w:ascii="宋体" w:hAnsi="宋体" w:eastAsia="宋体" w:cs="宋体"/>
                <w:kern w:val="0"/>
                <w:sz w:val="20"/>
                <w:szCs w:val="20"/>
                <w:lang w:val="en-US" w:eastAsia="zh-CN" w:bidi="ar"/>
              </w:rPr>
              <w:t>预应力混凝土铁路桥简支梁</w:t>
            </w:r>
          </w:p>
        </w:tc>
        <w:tc>
          <w:tcPr>
            <w:tcW w:w="4224" w:type="dxa"/>
            <w:tcBorders>
              <w:top w:val="nil"/>
              <w:left w:val="nil"/>
              <w:bottom w:val="single" w:color="auto" w:sz="4"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国家市场监督管理总局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6</w:t>
            </w:r>
          </w:p>
        </w:tc>
        <w:tc>
          <w:tcPr>
            <w:tcW w:w="405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default"/>
              </w:rPr>
            </w:pPr>
            <w:r>
              <w:rPr>
                <w:rFonts w:hint="eastAsia" w:ascii="宋体" w:hAnsi="宋体" w:eastAsia="宋体" w:cs="宋体"/>
                <w:kern w:val="0"/>
                <w:sz w:val="20"/>
                <w:szCs w:val="20"/>
                <w:lang w:val="en-US" w:eastAsia="zh-CN" w:bidi="ar"/>
              </w:rPr>
              <w:t>电线电缆</w:t>
            </w:r>
          </w:p>
        </w:tc>
        <w:tc>
          <w:tcPr>
            <w:tcW w:w="422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省级市场监督管理部门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4"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7</w:t>
            </w:r>
          </w:p>
        </w:tc>
        <w:tc>
          <w:tcPr>
            <w:tcW w:w="405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default"/>
              </w:rPr>
            </w:pPr>
            <w:r>
              <w:rPr>
                <w:rFonts w:hint="eastAsia" w:ascii="宋体" w:hAnsi="宋体" w:eastAsia="宋体" w:cs="宋体"/>
                <w:kern w:val="0"/>
                <w:sz w:val="20"/>
                <w:szCs w:val="20"/>
                <w:lang w:val="en-US" w:eastAsia="zh-CN" w:bidi="ar"/>
              </w:rPr>
              <w:t>危险化学品</w:t>
            </w:r>
          </w:p>
        </w:tc>
        <w:tc>
          <w:tcPr>
            <w:tcW w:w="422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省级市场监督管理部门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2" w:type="dxa"/>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8</w:t>
            </w:r>
          </w:p>
        </w:tc>
        <w:tc>
          <w:tcPr>
            <w:tcW w:w="4055" w:type="dxa"/>
            <w:tcBorders>
              <w:top w:val="single" w:color="auto" w:sz="4"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default"/>
              </w:rPr>
            </w:pPr>
            <w:r>
              <w:rPr>
                <w:rFonts w:hint="eastAsia" w:ascii="宋体" w:hAnsi="宋体" w:eastAsia="宋体" w:cs="宋体"/>
                <w:kern w:val="0"/>
                <w:sz w:val="20"/>
                <w:szCs w:val="20"/>
                <w:lang w:val="en-US" w:eastAsia="zh-CN" w:bidi="ar"/>
              </w:rPr>
              <w:t>危险化学品包装物及容器</w:t>
            </w:r>
          </w:p>
        </w:tc>
        <w:tc>
          <w:tcPr>
            <w:tcW w:w="4224" w:type="dxa"/>
            <w:tcBorders>
              <w:top w:val="single" w:color="auto" w:sz="4"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省级市场监督管理部门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9</w:t>
            </w:r>
          </w:p>
        </w:tc>
        <w:tc>
          <w:tcPr>
            <w:tcW w:w="405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default"/>
              </w:rPr>
            </w:pPr>
            <w:r>
              <w:rPr>
                <w:rFonts w:hint="eastAsia" w:ascii="宋体" w:hAnsi="宋体" w:eastAsia="宋体" w:cs="宋体"/>
                <w:kern w:val="0"/>
                <w:sz w:val="20"/>
                <w:szCs w:val="20"/>
                <w:lang w:val="en-US" w:eastAsia="zh-CN" w:bidi="ar"/>
              </w:rPr>
              <w:t>化肥</w:t>
            </w:r>
          </w:p>
        </w:tc>
        <w:tc>
          <w:tcPr>
            <w:tcW w:w="422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省级市场监督管理部门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10</w:t>
            </w:r>
          </w:p>
        </w:tc>
        <w:tc>
          <w:tcPr>
            <w:tcW w:w="405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default"/>
              </w:rPr>
            </w:pPr>
            <w:r>
              <w:rPr>
                <w:rFonts w:hint="eastAsia" w:ascii="宋体" w:hAnsi="宋体" w:eastAsia="宋体" w:cs="宋体"/>
                <w:kern w:val="0"/>
                <w:sz w:val="20"/>
                <w:szCs w:val="20"/>
                <w:lang w:val="en-US" w:eastAsia="zh-CN" w:bidi="ar"/>
              </w:rPr>
              <w:t>直接接触食品的材料等相关产品</w:t>
            </w:r>
          </w:p>
        </w:tc>
        <w:tc>
          <w:tcPr>
            <w:tcW w:w="422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省级市场监督管理部门</w:t>
            </w:r>
          </w:p>
        </w:tc>
      </w:tr>
    </w:tbl>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21"/>
          <w:szCs w:val="21"/>
          <w:shd w:val="clear"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21"/>
          <w:szCs w:val="21"/>
          <w:shd w:val="clear"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21"/>
          <w:szCs w:val="21"/>
          <w:shd w:val="clear"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21"/>
          <w:szCs w:val="21"/>
          <w:shd w:val="clear" w:fill="FFFFFF"/>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宋体" w:hAnsi="宋体" w:eastAsia="宋体" w:cs="宋体"/>
          <w:b/>
          <w:i w:val="0"/>
          <w:caps w:val="0"/>
          <w:color w:val="333333"/>
          <w:spacing w:val="0"/>
          <w:sz w:val="30"/>
          <w:szCs w:val="30"/>
          <w:shd w:val="clear" w:fill="FFFFFF"/>
        </w:rPr>
      </w:pPr>
      <w:bookmarkStart w:id="66" w:name="_Toc7422"/>
      <w:r>
        <w:rPr>
          <w:rFonts w:hint="eastAsia" w:ascii="宋体" w:hAnsi="宋体" w:eastAsia="宋体" w:cs="宋体"/>
          <w:b/>
          <w:i w:val="0"/>
          <w:caps w:val="0"/>
          <w:color w:val="333333"/>
          <w:spacing w:val="0"/>
          <w:sz w:val="30"/>
          <w:szCs w:val="30"/>
          <w:shd w:val="clear" w:fill="FFFFFF"/>
        </w:rPr>
        <w:t>国务院关于印发实施更大规模减税降费后调整中央与地方收入划分改革推进方案的通知</w:t>
      </w:r>
      <w:bookmarkEnd w:id="66"/>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楷体" w:hAnsi="楷体" w:eastAsia="楷体" w:cs="楷体"/>
          <w:i w:val="0"/>
          <w:caps w:val="0"/>
          <w:color w:val="333333"/>
          <w:spacing w:val="0"/>
          <w:sz w:val="24"/>
          <w:szCs w:val="24"/>
          <w:shd w:val="clear" w:fill="FFFFFF"/>
        </w:rPr>
      </w:pPr>
      <w:bookmarkStart w:id="67" w:name="_Toc7175"/>
      <w:r>
        <w:rPr>
          <w:rFonts w:hint="eastAsia" w:ascii="楷体" w:hAnsi="楷体" w:eastAsia="楷体" w:cs="楷体"/>
          <w:i w:val="0"/>
          <w:caps w:val="0"/>
          <w:color w:val="333333"/>
          <w:spacing w:val="0"/>
          <w:sz w:val="24"/>
          <w:szCs w:val="24"/>
          <w:shd w:val="clear" w:fill="FFFFFF"/>
        </w:rPr>
        <w:t>国发〔2019〕21号</w:t>
      </w:r>
      <w:bookmarkEnd w:id="67"/>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各省、自治区、直辖市人民政府，国务院各部委、各直属机构：</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现将《实施更大规模减税降费后调整中央与地方收入划分改革推进方案》印发给你们，请认真贯彻执行。</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国务院</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2019年9月26日</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（此件公开发布）</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宋体" w:hAnsi="宋体" w:eastAsia="宋体" w:cs="宋体"/>
          <w:i w:val="0"/>
          <w:caps w:val="0"/>
          <w:color w:val="333333"/>
          <w:spacing w:val="0"/>
          <w:sz w:val="28"/>
          <w:szCs w:val="28"/>
        </w:rPr>
      </w:pPr>
      <w:bookmarkStart w:id="68" w:name="_Toc25059"/>
      <w:r>
        <w:rPr>
          <w:rFonts w:hint="eastAsia" w:ascii="宋体" w:hAnsi="宋体" w:eastAsia="宋体" w:cs="宋体"/>
          <w:b/>
          <w:i w:val="0"/>
          <w:caps w:val="0"/>
          <w:color w:val="333333"/>
          <w:spacing w:val="0"/>
          <w:sz w:val="28"/>
          <w:szCs w:val="28"/>
          <w:shd w:val="clear" w:fill="FFFFFF"/>
        </w:rPr>
        <w:t>实施更大规模减税降费后调整</w:t>
      </w:r>
      <w:bookmarkEnd w:id="68"/>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shd w:val="clear" w:fill="FFFFFF"/>
        </w:rPr>
        <w:t>中央与地方收入划分改革推进方案</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为进一步理顺中央与地方财政分配关系，支持地方政府落实减税降费政策、缓解财政运行困难，按照党中央、国务院决策部署，现就实施更大规模减税降费后调整中央与地方收入划分改革制定如下方案。</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一、基本原则</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（一）保持现有财力格局总体稳定。</w:t>
      </w:r>
      <w:r>
        <w:rPr>
          <w:rFonts w:hint="eastAsia" w:ascii="宋体" w:hAnsi="宋体" w:eastAsia="宋体" w:cs="宋体"/>
          <w:i w:val="0"/>
          <w:caps w:val="0"/>
          <w:color w:val="333333"/>
          <w:spacing w:val="0"/>
          <w:sz w:val="21"/>
          <w:szCs w:val="21"/>
          <w:shd w:val="clear" w:fill="FFFFFF"/>
        </w:rPr>
        <w:t>调动中央与地方两个积极性，稳定分税制改革以来形成的中央与地方收入划分总体格局，巩固增值税“五五分享”等收入划分改革成果。</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（二）建立更加均衡合理的分担机制。</w:t>
      </w:r>
      <w:r>
        <w:rPr>
          <w:rFonts w:hint="eastAsia" w:ascii="宋体" w:hAnsi="宋体" w:eastAsia="宋体" w:cs="宋体"/>
          <w:i w:val="0"/>
          <w:caps w:val="0"/>
          <w:color w:val="333333"/>
          <w:spacing w:val="0"/>
          <w:sz w:val="21"/>
          <w:szCs w:val="21"/>
          <w:shd w:val="clear" w:fill="FFFFFF"/>
        </w:rPr>
        <w:t>按照深化增值税改革、建立留抵退税制度的要求，在保持留抵退税中央与地方分担比例不变的基础上，合理调整优化地方间的分担办法。</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（三）稳步推进健全地方税体系改革。</w:t>
      </w:r>
      <w:r>
        <w:rPr>
          <w:rFonts w:hint="eastAsia" w:ascii="宋体" w:hAnsi="宋体" w:eastAsia="宋体" w:cs="宋体"/>
          <w:i w:val="0"/>
          <w:caps w:val="0"/>
          <w:color w:val="333333"/>
          <w:spacing w:val="0"/>
          <w:sz w:val="21"/>
          <w:szCs w:val="21"/>
          <w:shd w:val="clear" w:fill="FFFFFF"/>
        </w:rPr>
        <w:t>适时调整完善地方税税制，培育壮大地方税税源，将部分条件成熟的中央税种作为地方收入，增强地方应对更大规模减税降费的能力。</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二、主要改革措施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（一）保持增值税“五五分享”比例稳定。</w:t>
      </w:r>
      <w:r>
        <w:rPr>
          <w:rFonts w:hint="eastAsia" w:ascii="宋体" w:hAnsi="宋体" w:eastAsia="宋体" w:cs="宋体"/>
          <w:i w:val="0"/>
          <w:caps w:val="0"/>
          <w:color w:val="333333"/>
          <w:spacing w:val="0"/>
          <w:sz w:val="21"/>
          <w:szCs w:val="21"/>
          <w:shd w:val="clear" w:fill="FFFFFF"/>
        </w:rPr>
        <w:t>《国务院关于印发全面推开营改增试点后调整中央与地方增值税收入划分过渡方案的通知》（国发〔2016〕26号）确定的2—3年过渡期到期后，继续保持增值税收入划分“五五分享”比例不变，即中央分享增值税的50%、地方按税收缴纳地分享增值税的50%。进一步稳定社会预期，引导各地因地制宜发展优势产业，鼓励地方在经济发展中培育和拓展税源，增强地方财政“造血”功能，营造主动有为、竞相发展、实干兴业的环境。</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（二）调整完善增值税留抵退税分担机制。</w:t>
      </w:r>
      <w:r>
        <w:rPr>
          <w:rFonts w:hint="eastAsia" w:ascii="宋体" w:hAnsi="宋体" w:eastAsia="宋体" w:cs="宋体"/>
          <w:i w:val="0"/>
          <w:caps w:val="0"/>
          <w:color w:val="333333"/>
          <w:spacing w:val="0"/>
          <w:sz w:val="21"/>
          <w:szCs w:val="21"/>
          <w:shd w:val="clear" w:fill="FFFFFF"/>
        </w:rPr>
        <w:t>建立增值税留抵退税长效机制，结合财政收入形势确定退税规模，并保持中央与地方“五五”分担比例不变。为缓解部分地区留抵退税压力，增值税留抵退税地方分担的部分（50%），由企业所在地全部负担（50%）调整为先负担15%，其余35%暂由企业所在地一并垫付，再由各地按上年增值税分享额占比均衡分担，垫付多于应分担的部分由中央财政按月向企业所在地省级财政调库。合理确定省以下退税分担机制，切实减轻基层财政压力。具体办法由财政部研究制定。</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（三）后移消费税征收环节并稳步下划地方。</w:t>
      </w:r>
      <w:r>
        <w:rPr>
          <w:rFonts w:hint="eastAsia" w:ascii="宋体" w:hAnsi="宋体" w:eastAsia="宋体" w:cs="宋体"/>
          <w:i w:val="0"/>
          <w:caps w:val="0"/>
          <w:color w:val="333333"/>
          <w:spacing w:val="0"/>
          <w:sz w:val="21"/>
          <w:szCs w:val="21"/>
          <w:shd w:val="clear" w:fill="FFFFFF"/>
        </w:rPr>
        <w:t>按照健全地方税体系改革要求，在征管可控的前提下，将部分在生产（进口）环节征收的现行消费税品目逐步后移至批发或零售环节征收，拓展地方收入来源，引导地方改善消费环境。具体调整品目经充分论证，逐项报批后稳步实施。先对高档手表、贵重首饰和珠宝玉石等条件成熟的品目实施改革，再结合消费税立法对其他具备条件的品目实施改革试点。改革调整的存量部分核定基数，由地方上解中央，增量部分原则上将归属地方，确保中央与地方既有财力格局稳定。具体办法由财政部会同税务总局等部门研究制定。</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三、工作要求</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（一）加强组织领导。</w:t>
      </w:r>
      <w:r>
        <w:rPr>
          <w:rFonts w:hint="eastAsia" w:ascii="宋体" w:hAnsi="宋体" w:eastAsia="宋体" w:cs="宋体"/>
          <w:i w:val="0"/>
          <w:caps w:val="0"/>
          <w:color w:val="333333"/>
          <w:spacing w:val="0"/>
          <w:sz w:val="21"/>
          <w:szCs w:val="21"/>
          <w:shd w:val="clear" w:fill="FFFFFF"/>
        </w:rPr>
        <w:t>财政部要加强对中央与地方收入划分改革工作的组织协调，抓紧制定具体实施办法。各省级人民政府要结合本地实际，进一步建立健全中央与地方收入划分改革工作的协调机制，明确责任分工，强化协同配合，督促指导本级部门和辖区内市县全面贯彻落实。国务院有关部门要全力配合改革，协助做好对各地区各行业改革落实情况的跟踪监测。</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（二）严肃财经纪律。</w:t>
      </w:r>
      <w:r>
        <w:rPr>
          <w:rFonts w:hint="eastAsia" w:ascii="宋体" w:hAnsi="宋体" w:eastAsia="宋体" w:cs="宋体"/>
          <w:i w:val="0"/>
          <w:caps w:val="0"/>
          <w:color w:val="333333"/>
          <w:spacing w:val="0"/>
          <w:sz w:val="21"/>
          <w:szCs w:val="21"/>
          <w:shd w:val="clear" w:fill="FFFFFF"/>
        </w:rPr>
        <w:t>财政部要会同有关部门认真审核、严格把关，防止一些地方人为干预税收、突击做基数。各地区要按本方案要求推进改革，严肃查处干预企业经营、操纵税源分布、地方市场保护等违规行为，防止为了短期和局部利益，搞违规政策洼地。各级税务机关要做好改革后税收征管工作，严厉打击虚开发票和偷逃骗税行为，坚决堵塞征管漏洞。</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楷体" w:hAnsi="楷体" w:eastAsia="楷体" w:cs="楷体"/>
          <w:i w:val="0"/>
          <w:caps w:val="0"/>
          <w:color w:val="333333"/>
          <w:spacing w:val="0"/>
          <w:sz w:val="21"/>
          <w:szCs w:val="21"/>
          <w:shd w:val="clear" w:fill="FFFFFF"/>
        </w:rPr>
        <w:t>（三）推进配套改革。</w:t>
      </w:r>
      <w:r>
        <w:rPr>
          <w:rFonts w:hint="eastAsia" w:ascii="宋体" w:hAnsi="宋体" w:eastAsia="宋体" w:cs="宋体"/>
          <w:i w:val="0"/>
          <w:caps w:val="0"/>
          <w:color w:val="333333"/>
          <w:spacing w:val="0"/>
          <w:sz w:val="21"/>
          <w:szCs w:val="21"/>
          <w:shd w:val="clear" w:fill="FFFFFF"/>
        </w:rPr>
        <w:t>本方案确定的中央与地方收入划分改革措施到位后，各省、自治区、直辖市及计划单列市人民政府要结合本地实际，进一步改革和完善省以下财政管理体制，理顺省以下各级政府间收入划分关系，均衡省以下地区间财力，促进基本公共服务均等化。</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实施更大规模减税降费是应对当前经济下行压力的关键之举，调整中央与地方收入划分改革是落实减税降费政策的重要保障。各地区各部门要更加紧密地团结在以习近平同志为核心的党中央周围，坚持以习近平新时代中国特色社会主义思想为指导，增强“四个意识”、坚定“四个自信”、做到“两个维护”，抓好本方案的贯彻实施工作，建立权责清晰、财力协调、区域均衡的中央与地方财政关系，为减税降费政策落实创造条件，确保让企业和人民群众有实实在在的获得感，为全面建成小康社会收官打下决定性基础，以优异成绩庆祝中华人民共和国成立70周年。</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21"/>
          <w:szCs w:val="21"/>
          <w:shd w:val="clear"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21"/>
          <w:szCs w:val="21"/>
          <w:shd w:val="clear"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21"/>
          <w:szCs w:val="21"/>
          <w:shd w:val="clear"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21"/>
          <w:szCs w:val="21"/>
          <w:shd w:val="clear" w:fill="FFFFFF"/>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宋体" w:hAnsi="宋体" w:eastAsia="宋体" w:cs="宋体"/>
          <w:b/>
          <w:i w:val="0"/>
          <w:caps w:val="0"/>
          <w:color w:val="333333"/>
          <w:spacing w:val="0"/>
          <w:sz w:val="30"/>
          <w:szCs w:val="30"/>
          <w:shd w:val="clear" w:fill="FFFFFF"/>
        </w:rPr>
      </w:pPr>
      <w:bookmarkStart w:id="69" w:name="_Toc12759"/>
      <w:r>
        <w:rPr>
          <w:rFonts w:hint="eastAsia" w:ascii="宋体" w:hAnsi="宋体" w:eastAsia="宋体" w:cs="宋体"/>
          <w:b/>
          <w:i w:val="0"/>
          <w:caps w:val="0"/>
          <w:color w:val="333333"/>
          <w:spacing w:val="0"/>
          <w:sz w:val="30"/>
          <w:szCs w:val="30"/>
          <w:shd w:val="clear" w:fill="FFFFFF"/>
        </w:rPr>
        <w:t>国务院办公厅关于做好优化营商环境改革举措复制推广借鉴工作的通知</w:t>
      </w:r>
      <w:bookmarkEnd w:id="69"/>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楷体" w:hAnsi="楷体" w:eastAsia="楷体" w:cs="楷体"/>
          <w:i w:val="0"/>
          <w:caps w:val="0"/>
          <w:color w:val="333333"/>
          <w:spacing w:val="0"/>
          <w:sz w:val="24"/>
          <w:szCs w:val="24"/>
          <w:shd w:val="clear" w:fill="FFFFFF"/>
        </w:rPr>
      </w:pPr>
      <w:bookmarkStart w:id="70" w:name="_Toc24081"/>
      <w:r>
        <w:rPr>
          <w:rFonts w:hint="eastAsia" w:ascii="楷体" w:hAnsi="楷体" w:eastAsia="楷体" w:cs="楷体"/>
          <w:i w:val="0"/>
          <w:caps w:val="0"/>
          <w:color w:val="333333"/>
          <w:spacing w:val="0"/>
          <w:sz w:val="24"/>
          <w:szCs w:val="24"/>
          <w:shd w:val="clear" w:fill="FFFFFF"/>
        </w:rPr>
        <w:t>国办函〔2019〕89号</w:t>
      </w:r>
      <w:bookmarkEnd w:id="70"/>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各省、自治区、直辖市人民政府，国务院各部委、各直属机构：</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优化营商环境是党中央、国务院在新形势下作出的重大决策部署，是促进高质量发展的重要举措。近年来，各地区、各部门认真贯彻落实党中央、国务院决策部署，深入推进“放管服”改革，深刻转变政府职能，持续优化营商环境，取得积极成效。其中，北京市、上海市聚焦市场主体反映的突出问题，对标国际先进，推出大量改革举措，形成了一批典型经验做法。经国务院同意，现就在全国复制推广借鉴京沪两地优化营商环境改革举措有关事项通知如下。</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rPr>
        <w:t>一、在全国复制推广借鉴改革举措的主要内容</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（一）在全国复制推广的改革举措。</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主要包括：实行开办企业全程网上办，压缩企业设立登记时间，全面推广电子营业执照，优化印章刻制服务，实行社保用工登记“二合一”；实行客户用电线上报装；提供不动产登记、交易和缴税“一窗受理、并行办理”服务，提供不动产登记信息网上查询和现场自助查询服务；纳税“最多跑一次”；推广应用国际贸易“单一窗口”，公开口岸收费目录清单，口岸通关提前申报；建立“基本解决执行难”联动机制等13项改革举措。</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（二）供全国借鉴的改革举措。</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主要包括：提供企业档案“容e查”服务；优化环境影响评价分类分级管理，实行数字化联合审图，推行工程招投标交易全过程电子化，实行施工许可证全程网上办；提供低压小微企业接电“零上门零审批零投资”服务，提供客户接电移动作业终端实时响应服务，实行接电工程双经理负责制；推行不动产登记信息和地籍管理信息互联互通，实行不动产登记电子证照协同互认，建立健全不动产登记和土地权籍测绘投诉机制及土地纠纷相关信息公开制度；住房公积金缴存业务全程网上办、“通缴通取”，实行纳税人线上“一表申请”、“一键报税”；实行通关全流程电子化，推行海关内部核批“一步作业”，推行集装箱设备交接单无纸化，实行口岸分类验放，实行跨境贸易大数据监管，优化关税征管全流程服务，同步通关和物流作业；推行法院网上立案与司法数据常态化公开，推行全流程网络化办案，构建诉讼服务平台等23项改革举措。</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rPr>
        <w:t>二、高度重视复制推广借鉴工作</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各地区、各部门要坚决贯彻落实党中央、国务院决策部署，深刻认识复制推广借鉴京沪两地优化营商环境改革举措的重大意义，加快转变政府管理理念和方式，着力推动制度创新，以简审批优服务便利投资兴业、以公正监管促进公平竞争、以改革推动降低涉企收费，下硬功夫打造好发展软环境，持续提升政府服务水平和办事效率，加快建立健全统一开放、竞争有序的现代市场体系，打造市场化、法治化、国际化营商环境，持续释放改革红利，进一步激发市场主体活力和社会创造力。</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rPr>
        <w:t>三、切实做好组织实施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各地区要主动对标先进，相互学习借鉴，将优化营商环境改革举措复制推广借鉴工作纳入本地区重点工作，加强组织领导，落实工作责任，确保复制推广借鉴工作顺利推进。国务院各有关部门要结合工作职责，积极协调、指导推进复制推广借鉴工作。国务院办公厅、国家发展改革委要加强跟踪督促，及时总结推广典型经验做法，进一步改善全国营商环境。复制推广借鉴工作中遇到的重大问题，要及时报告国务院。</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附件：在全国复制推广借鉴的京沪两地优化营商环境改革举措清单</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国务院办公厅</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2019年9月3日</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（此件公开发布）</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附件</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shd w:val="clear" w:fill="FFFFFF"/>
        </w:rPr>
        <w:t>在全国复制推广借鉴的京沪两地</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shd w:val="clear" w:fill="FFFFFF"/>
        </w:rPr>
        <w:t>优化营商环境改革举措清单</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一、在全国复制推广的改革举措（13项）</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tbl>
      <w:tblPr>
        <w:tblStyle w:val="21"/>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9"/>
        <w:gridCol w:w="2580"/>
        <w:gridCol w:w="56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b/>
                <w:kern w:val="0"/>
                <w:sz w:val="20"/>
                <w:szCs w:val="20"/>
                <w:lang w:val="en-US" w:eastAsia="zh-CN" w:bidi="ar"/>
              </w:rPr>
              <w:t>序号</w:t>
            </w:r>
          </w:p>
        </w:tc>
        <w:tc>
          <w:tcPr>
            <w:tcW w:w="258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b/>
                <w:kern w:val="0"/>
                <w:sz w:val="20"/>
                <w:szCs w:val="20"/>
                <w:lang w:val="en-US" w:eastAsia="zh-CN" w:bidi="ar"/>
              </w:rPr>
              <w:t>改革举措</w:t>
            </w:r>
          </w:p>
        </w:tc>
        <w:tc>
          <w:tcPr>
            <w:tcW w:w="56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b/>
                <w:kern w:val="0"/>
                <w:sz w:val="20"/>
                <w:szCs w:val="20"/>
                <w:lang w:val="en-US" w:eastAsia="zh-CN" w:bidi="ar"/>
              </w:rPr>
              <w:t>主要做法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71"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default"/>
              </w:rPr>
            </w:pPr>
            <w:r>
              <w:rPr>
                <w:rFonts w:hint="eastAsia" w:ascii="宋体" w:hAnsi="宋体" w:eastAsia="宋体" w:cs="宋体"/>
                <w:b/>
                <w:kern w:val="0"/>
                <w:sz w:val="20"/>
                <w:szCs w:val="20"/>
                <w:lang w:val="en-US" w:eastAsia="zh-CN" w:bidi="ar"/>
              </w:rPr>
              <w:t>（一）开办企业（</w:t>
            </w:r>
            <w:r>
              <w:rPr>
                <w:rFonts w:hint="default" w:ascii="Calibri" w:hAnsi="Calibri" w:eastAsia="宋体" w:cs="Calibri"/>
                <w:b/>
                <w:kern w:val="0"/>
                <w:sz w:val="20"/>
                <w:szCs w:val="20"/>
                <w:lang w:val="en-US" w:eastAsia="zh-CN" w:bidi="ar"/>
              </w:rPr>
              <w:t>5</w:t>
            </w:r>
            <w:r>
              <w:rPr>
                <w:rFonts w:hint="eastAsia" w:ascii="宋体" w:hAnsi="宋体" w:eastAsia="宋体" w:cs="宋体"/>
                <w:b/>
                <w:kern w:val="0"/>
                <w:sz w:val="20"/>
                <w:szCs w:val="20"/>
                <w:lang w:val="en-US" w:eastAsia="zh-CN" w:bidi="ar"/>
              </w:rPr>
              <w:t>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w:t>
            </w:r>
            <w:r>
              <w:rPr>
                <w:rFonts w:hint="eastAsia" w:ascii="宋体" w:hAnsi="宋体" w:eastAsia="宋体" w:cs="宋体"/>
                <w:b/>
                <w:kern w:val="0"/>
                <w:sz w:val="20"/>
                <w:szCs w:val="20"/>
                <w:lang w:val="en-US" w:eastAsia="zh-CN" w:bidi="ar"/>
              </w:rPr>
              <w:t>责任单位：</w:t>
            </w:r>
            <w:r>
              <w:rPr>
                <w:rFonts w:hint="eastAsia" w:ascii="宋体" w:hAnsi="宋体" w:eastAsia="宋体" w:cs="宋体"/>
                <w:kern w:val="0"/>
                <w:sz w:val="20"/>
                <w:szCs w:val="20"/>
                <w:lang w:val="en-US" w:eastAsia="zh-CN" w:bidi="ar"/>
              </w:rPr>
              <w:t>市场监管总局牵头，工业和信息化部、公安部、人力资源社会保障部、人民银行、税务总局等国务院相关部门及各地区按职责分工负责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1</w:t>
            </w:r>
          </w:p>
        </w:tc>
        <w:tc>
          <w:tcPr>
            <w:tcW w:w="258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楷体" w:hAnsi="楷体" w:eastAsia="楷体" w:cs="楷体"/>
                <w:kern w:val="0"/>
                <w:sz w:val="20"/>
                <w:szCs w:val="20"/>
                <w:lang w:val="en-US" w:eastAsia="zh-CN" w:bidi="ar"/>
              </w:rPr>
              <w:t>实行开办企业全程网上办</w:t>
            </w:r>
          </w:p>
        </w:tc>
        <w:tc>
          <w:tcPr>
            <w:tcW w:w="56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开办企业申领营业执照、刻制印章、申领发票、用工信息登记、银行预约开户全流程在线申报。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2</w:t>
            </w:r>
          </w:p>
        </w:tc>
        <w:tc>
          <w:tcPr>
            <w:tcW w:w="25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楷体" w:hAnsi="楷体" w:eastAsia="楷体" w:cs="楷体"/>
                <w:kern w:val="0"/>
                <w:sz w:val="20"/>
                <w:szCs w:val="20"/>
                <w:lang w:val="en-US" w:eastAsia="zh-CN" w:bidi="ar"/>
              </w:rPr>
              <w:t>压缩企业设立登记时间</w:t>
            </w:r>
          </w:p>
        </w:tc>
        <w:tc>
          <w:tcPr>
            <w:tcW w:w="56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通过企业名称自主申报、经营范围规范化、系统智能审批，推行标准化、智能化、自动化的全程电子化登记，确保企业设立登记</w:t>
            </w:r>
            <w:r>
              <w:rPr>
                <w:rFonts w:hint="default" w:ascii="Calibri" w:hAnsi="Calibri" w:eastAsia="宋体" w:cs="Calibri"/>
                <w:kern w:val="0"/>
                <w:sz w:val="20"/>
                <w:szCs w:val="20"/>
                <w:lang w:val="en-US" w:eastAsia="zh-CN" w:bidi="ar"/>
              </w:rPr>
              <w:t>2</w:t>
            </w:r>
            <w:r>
              <w:rPr>
                <w:rFonts w:hint="eastAsia" w:ascii="宋体" w:hAnsi="宋体" w:eastAsia="宋体" w:cs="宋体"/>
                <w:kern w:val="0"/>
                <w:sz w:val="20"/>
                <w:szCs w:val="20"/>
                <w:lang w:val="en-US" w:eastAsia="zh-CN" w:bidi="ar"/>
              </w:rPr>
              <w:t>个工作日内办结。</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3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3</w:t>
            </w:r>
          </w:p>
        </w:tc>
        <w:tc>
          <w:tcPr>
            <w:tcW w:w="25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楷体" w:hAnsi="楷体" w:eastAsia="楷体" w:cs="楷体"/>
                <w:kern w:val="0"/>
                <w:sz w:val="20"/>
                <w:szCs w:val="20"/>
                <w:lang w:val="en-US" w:eastAsia="zh-CN" w:bidi="ar"/>
              </w:rPr>
              <w:t>全面推广电子营业执照</w:t>
            </w:r>
          </w:p>
        </w:tc>
        <w:tc>
          <w:tcPr>
            <w:tcW w:w="56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不需领取法人一证通等</w:t>
            </w:r>
            <w:r>
              <w:rPr>
                <w:rFonts w:hint="default" w:ascii="Calibri" w:hAnsi="Calibri" w:eastAsia="宋体" w:cs="Calibri"/>
                <w:kern w:val="0"/>
                <w:sz w:val="20"/>
                <w:szCs w:val="20"/>
                <w:lang w:val="en-US" w:eastAsia="zh-CN" w:bidi="ar"/>
              </w:rPr>
              <w:t>CA</w:t>
            </w:r>
            <w:r>
              <w:rPr>
                <w:rFonts w:hint="eastAsia" w:ascii="宋体" w:hAnsi="宋体" w:eastAsia="宋体" w:cs="宋体"/>
                <w:kern w:val="0"/>
                <w:sz w:val="20"/>
                <w:szCs w:val="20"/>
                <w:lang w:val="en-US" w:eastAsia="zh-CN" w:bidi="ar"/>
              </w:rPr>
              <w:t>证书，凭电子营业执照即可办理后续税务、社保、公积金、银行开户等开办企业事项。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3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4</w:t>
            </w:r>
          </w:p>
        </w:tc>
        <w:tc>
          <w:tcPr>
            <w:tcW w:w="25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楷体" w:hAnsi="楷体" w:eastAsia="楷体" w:cs="楷体"/>
                <w:kern w:val="0"/>
                <w:sz w:val="20"/>
                <w:szCs w:val="20"/>
                <w:lang w:val="en-US" w:eastAsia="zh-CN" w:bidi="ar"/>
              </w:rPr>
              <w:t>优化印章刻制服务</w:t>
            </w:r>
          </w:p>
        </w:tc>
        <w:tc>
          <w:tcPr>
            <w:tcW w:w="56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依托地方政务服务平台等，通过开办企业全程网上办，刻制公章环节与申请营业执照合并办理，实现企业在登记环节可自主选择公章制作单位。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3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5</w:t>
            </w:r>
          </w:p>
        </w:tc>
        <w:tc>
          <w:tcPr>
            <w:tcW w:w="25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楷体" w:hAnsi="楷体" w:eastAsia="楷体" w:cs="楷体"/>
                <w:kern w:val="0"/>
                <w:sz w:val="20"/>
                <w:szCs w:val="20"/>
                <w:lang w:val="en-US" w:eastAsia="zh-CN" w:bidi="ar"/>
              </w:rPr>
              <w:t>实行社保用工登记“二合一”</w:t>
            </w:r>
          </w:p>
        </w:tc>
        <w:tc>
          <w:tcPr>
            <w:tcW w:w="56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将原用工登记和社保登记</w:t>
            </w:r>
            <w:r>
              <w:rPr>
                <w:rFonts w:hint="default" w:ascii="Calibri" w:hAnsi="Calibri" w:eastAsia="宋体" w:cs="Calibri"/>
                <w:kern w:val="0"/>
                <w:sz w:val="20"/>
                <w:szCs w:val="20"/>
                <w:lang w:val="en-US" w:eastAsia="zh-CN" w:bidi="ar"/>
              </w:rPr>
              <w:t>2</w:t>
            </w:r>
            <w:r>
              <w:rPr>
                <w:rFonts w:hint="eastAsia" w:ascii="宋体" w:hAnsi="宋体" w:eastAsia="宋体" w:cs="宋体"/>
                <w:kern w:val="0"/>
                <w:sz w:val="20"/>
                <w:szCs w:val="20"/>
                <w:lang w:val="en-US" w:eastAsia="zh-CN" w:bidi="ar"/>
              </w:rPr>
              <w:t>个环节合并为就业参保登记</w:t>
            </w:r>
            <w:r>
              <w:rPr>
                <w:rFonts w:hint="default" w:ascii="Calibri" w:hAnsi="Calibri" w:eastAsia="宋体" w:cs="Calibri"/>
                <w:kern w:val="0"/>
                <w:sz w:val="20"/>
                <w:szCs w:val="20"/>
                <w:lang w:val="en-US" w:eastAsia="zh-CN" w:bidi="ar"/>
              </w:rPr>
              <w:t>1</w:t>
            </w:r>
            <w:r>
              <w:rPr>
                <w:rFonts w:hint="eastAsia" w:ascii="宋体" w:hAnsi="宋体" w:eastAsia="宋体" w:cs="宋体"/>
                <w:kern w:val="0"/>
                <w:sz w:val="20"/>
                <w:szCs w:val="20"/>
                <w:lang w:val="en-US" w:eastAsia="zh-CN" w:bidi="ar"/>
              </w:rPr>
              <w:t>个环节，企业可网上一步办结。</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71"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default"/>
              </w:rPr>
            </w:pPr>
            <w:r>
              <w:rPr>
                <w:rFonts w:hint="eastAsia" w:ascii="宋体" w:hAnsi="宋体" w:eastAsia="宋体" w:cs="宋体"/>
                <w:b/>
                <w:kern w:val="0"/>
                <w:sz w:val="20"/>
                <w:szCs w:val="20"/>
                <w:lang w:val="en-US" w:eastAsia="zh-CN" w:bidi="ar"/>
              </w:rPr>
              <w:t>（二）获得电力（</w:t>
            </w:r>
            <w:r>
              <w:rPr>
                <w:rFonts w:hint="default" w:ascii="Calibri" w:hAnsi="Calibri" w:eastAsia="宋体" w:cs="Calibri"/>
                <w:b/>
                <w:kern w:val="0"/>
                <w:sz w:val="20"/>
                <w:szCs w:val="20"/>
                <w:lang w:val="en-US" w:eastAsia="zh-CN" w:bidi="ar"/>
              </w:rPr>
              <w:t>1</w:t>
            </w:r>
            <w:r>
              <w:rPr>
                <w:rFonts w:hint="eastAsia" w:ascii="宋体" w:hAnsi="宋体" w:eastAsia="宋体" w:cs="宋体"/>
                <w:b/>
                <w:kern w:val="0"/>
                <w:sz w:val="20"/>
                <w:szCs w:val="20"/>
                <w:lang w:val="en-US" w:eastAsia="zh-CN" w:bidi="ar"/>
              </w:rPr>
              <w:t>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w:t>
            </w:r>
            <w:r>
              <w:rPr>
                <w:rFonts w:hint="eastAsia" w:ascii="宋体" w:hAnsi="宋体" w:eastAsia="宋体" w:cs="宋体"/>
                <w:b/>
                <w:kern w:val="0"/>
                <w:sz w:val="20"/>
                <w:szCs w:val="20"/>
                <w:lang w:val="en-US" w:eastAsia="zh-CN" w:bidi="ar"/>
              </w:rPr>
              <w:t>责任单位：</w:t>
            </w:r>
            <w:r>
              <w:rPr>
                <w:rFonts w:hint="eastAsia" w:ascii="宋体" w:hAnsi="宋体" w:eastAsia="宋体" w:cs="宋体"/>
                <w:kern w:val="0"/>
                <w:sz w:val="20"/>
                <w:szCs w:val="20"/>
                <w:lang w:val="en-US" w:eastAsia="zh-CN" w:bidi="ar"/>
              </w:rPr>
              <w:t>国家能源局牵头，国家电网有限公司、中国南方电网有限责任公司、内蒙古电力（集团）有限责任公司等电网企业及各地区按职责分工负责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6</w:t>
            </w:r>
          </w:p>
        </w:tc>
        <w:tc>
          <w:tcPr>
            <w:tcW w:w="258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楷体" w:hAnsi="楷体" w:eastAsia="楷体" w:cs="楷体"/>
                <w:kern w:val="0"/>
                <w:sz w:val="20"/>
                <w:szCs w:val="20"/>
                <w:lang w:val="en-US" w:eastAsia="zh-CN" w:bidi="ar"/>
              </w:rPr>
              <w:t>实行客户用电线上报装</w:t>
            </w:r>
          </w:p>
        </w:tc>
        <w:tc>
          <w:tcPr>
            <w:tcW w:w="56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使用手机</w:t>
            </w:r>
            <w:r>
              <w:rPr>
                <w:rFonts w:hint="default" w:ascii="Calibri" w:hAnsi="Calibri" w:eastAsia="宋体" w:cs="Calibri"/>
                <w:kern w:val="0"/>
                <w:sz w:val="20"/>
                <w:szCs w:val="20"/>
                <w:lang w:val="en-US" w:eastAsia="zh-CN" w:bidi="ar"/>
              </w:rPr>
              <w:t>APP</w:t>
            </w:r>
            <w:r>
              <w:rPr>
                <w:rFonts w:hint="eastAsia" w:ascii="宋体" w:hAnsi="宋体" w:eastAsia="宋体" w:cs="宋体"/>
                <w:kern w:val="0"/>
                <w:sz w:val="20"/>
                <w:szCs w:val="20"/>
                <w:lang w:val="en-US" w:eastAsia="zh-CN" w:bidi="ar"/>
              </w:rPr>
              <w:t>在线申报，提供用电报装“不见面”服务，客户线上提交用电申请、查询业务办理进程、评价服务质量，无需往返供电营业厅，客户报装在线化、定制化、透明化。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71"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default"/>
              </w:rPr>
            </w:pPr>
            <w:r>
              <w:rPr>
                <w:rFonts w:hint="eastAsia" w:ascii="宋体" w:hAnsi="宋体" w:eastAsia="宋体" w:cs="宋体"/>
                <w:b/>
                <w:kern w:val="0"/>
                <w:sz w:val="20"/>
                <w:szCs w:val="20"/>
                <w:lang w:val="en-US" w:eastAsia="zh-CN" w:bidi="ar"/>
              </w:rPr>
              <w:t>（三）登记财产（</w:t>
            </w:r>
            <w:r>
              <w:rPr>
                <w:rFonts w:hint="default" w:ascii="Calibri" w:hAnsi="Calibri" w:eastAsia="宋体" w:cs="Calibri"/>
                <w:b/>
                <w:kern w:val="0"/>
                <w:sz w:val="20"/>
                <w:szCs w:val="20"/>
                <w:lang w:val="en-US" w:eastAsia="zh-CN" w:bidi="ar"/>
              </w:rPr>
              <w:t>2</w:t>
            </w:r>
            <w:r>
              <w:rPr>
                <w:rFonts w:hint="eastAsia" w:ascii="宋体" w:hAnsi="宋体" w:eastAsia="宋体" w:cs="宋体"/>
                <w:b/>
                <w:kern w:val="0"/>
                <w:sz w:val="20"/>
                <w:szCs w:val="20"/>
                <w:lang w:val="en-US" w:eastAsia="zh-CN" w:bidi="ar"/>
              </w:rPr>
              <w:t>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w:t>
            </w:r>
            <w:r>
              <w:rPr>
                <w:rFonts w:hint="eastAsia" w:ascii="宋体" w:hAnsi="宋体" w:eastAsia="宋体" w:cs="宋体"/>
                <w:b/>
                <w:kern w:val="0"/>
                <w:sz w:val="20"/>
                <w:szCs w:val="20"/>
                <w:lang w:val="en-US" w:eastAsia="zh-CN" w:bidi="ar"/>
              </w:rPr>
              <w:t>责任单位：</w:t>
            </w:r>
            <w:r>
              <w:rPr>
                <w:rFonts w:hint="eastAsia" w:ascii="宋体" w:hAnsi="宋体" w:eastAsia="宋体" w:cs="宋体"/>
                <w:kern w:val="0"/>
                <w:sz w:val="20"/>
                <w:szCs w:val="20"/>
                <w:lang w:val="en-US" w:eastAsia="zh-CN" w:bidi="ar"/>
              </w:rPr>
              <w:t>自然资源部牵头，住房城乡建设部、税务总局等国务院相关部门及各地区按职责分工负责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7</w:t>
            </w:r>
          </w:p>
        </w:tc>
        <w:tc>
          <w:tcPr>
            <w:tcW w:w="258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楷体" w:hAnsi="楷体" w:eastAsia="楷体" w:cs="楷体"/>
                <w:kern w:val="0"/>
                <w:sz w:val="20"/>
                <w:szCs w:val="20"/>
                <w:lang w:val="en-US" w:eastAsia="zh-CN" w:bidi="ar"/>
              </w:rPr>
              <w:t>提供不动产登记、交易和缴税“一窗受理、并行办理”服务</w:t>
            </w:r>
          </w:p>
        </w:tc>
        <w:tc>
          <w:tcPr>
            <w:tcW w:w="56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整合房屋交易管理部门、税务部门和不动产登记部门窗口，因地制宜设立“一窗式”综合服务窗口，统一受理各项业务所需资料，并同时提交相关部门并行办理，当事人在综合服务窗口即可完成不动产登记、交易、缴税等业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8</w:t>
            </w:r>
          </w:p>
        </w:tc>
        <w:tc>
          <w:tcPr>
            <w:tcW w:w="25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楷体" w:hAnsi="楷体" w:eastAsia="楷体" w:cs="楷体"/>
                <w:kern w:val="0"/>
                <w:sz w:val="20"/>
                <w:szCs w:val="20"/>
                <w:lang w:val="en-US" w:eastAsia="zh-CN" w:bidi="ar"/>
              </w:rPr>
              <w:t>提供不动产登记信息网上查询和现场自助查询服务</w:t>
            </w:r>
          </w:p>
        </w:tc>
        <w:tc>
          <w:tcPr>
            <w:tcW w:w="56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提供不动产登记信息网上查询服务，公众、机构注册并实名认证后，通过不动产登记信息查询系统进行查询。提供不动产登记信息现场自助查询服务，在不动产登记受理大厅安放自助查询设备，权利人可以查询自己名下的所有不动产登记资料，其他人可以根据不动产坐落查阅用途、面积、抵押情况、限制信息和地籍图等登记资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071"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default"/>
              </w:rPr>
            </w:pPr>
            <w:r>
              <w:rPr>
                <w:rFonts w:hint="eastAsia" w:ascii="宋体" w:hAnsi="宋体" w:eastAsia="宋体" w:cs="宋体"/>
                <w:b/>
                <w:kern w:val="0"/>
                <w:sz w:val="20"/>
                <w:szCs w:val="20"/>
                <w:lang w:val="en-US" w:eastAsia="zh-CN" w:bidi="ar"/>
              </w:rPr>
              <w:t>（四）缴纳税费（</w:t>
            </w:r>
            <w:r>
              <w:rPr>
                <w:rFonts w:hint="default" w:ascii="Calibri" w:hAnsi="Calibri" w:eastAsia="宋体" w:cs="Calibri"/>
                <w:b/>
                <w:kern w:val="0"/>
                <w:sz w:val="20"/>
                <w:szCs w:val="20"/>
                <w:lang w:val="en-US" w:eastAsia="zh-CN" w:bidi="ar"/>
              </w:rPr>
              <w:t>1</w:t>
            </w:r>
            <w:r>
              <w:rPr>
                <w:rFonts w:hint="eastAsia" w:ascii="宋体" w:hAnsi="宋体" w:eastAsia="宋体" w:cs="宋体"/>
                <w:b/>
                <w:kern w:val="0"/>
                <w:sz w:val="20"/>
                <w:szCs w:val="20"/>
                <w:lang w:val="en-US" w:eastAsia="zh-CN" w:bidi="ar"/>
              </w:rPr>
              <w:t>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w:t>
            </w:r>
            <w:r>
              <w:rPr>
                <w:rFonts w:hint="eastAsia" w:ascii="宋体" w:hAnsi="宋体" w:eastAsia="宋体" w:cs="宋体"/>
                <w:b/>
                <w:kern w:val="0"/>
                <w:sz w:val="20"/>
                <w:szCs w:val="20"/>
                <w:lang w:val="en-US" w:eastAsia="zh-CN" w:bidi="ar"/>
              </w:rPr>
              <w:t>责任单位：</w:t>
            </w:r>
            <w:r>
              <w:rPr>
                <w:rFonts w:hint="eastAsia" w:ascii="宋体" w:hAnsi="宋体" w:eastAsia="宋体" w:cs="宋体"/>
                <w:kern w:val="0"/>
                <w:sz w:val="20"/>
                <w:szCs w:val="20"/>
                <w:lang w:val="en-US" w:eastAsia="zh-CN" w:bidi="ar"/>
              </w:rPr>
              <w:t>财政部牵头，人力资源社会保障部、住房城乡建设部、税务总局等国务院相关部门及各地区按职责分工负责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9</w:t>
            </w:r>
          </w:p>
        </w:tc>
        <w:tc>
          <w:tcPr>
            <w:tcW w:w="258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楷体" w:hAnsi="楷体" w:eastAsia="楷体" w:cs="楷体"/>
                <w:kern w:val="0"/>
                <w:sz w:val="20"/>
                <w:szCs w:val="20"/>
                <w:lang w:val="en-US" w:eastAsia="zh-CN" w:bidi="ar"/>
              </w:rPr>
              <w:t>纳税“最多跑一次”</w:t>
            </w:r>
          </w:p>
        </w:tc>
        <w:tc>
          <w:tcPr>
            <w:tcW w:w="56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制定“最多跑一次”办税事项清单，发布办税指南和标准化材料清单，实现纳税事项“最多跑一次”。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071"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default"/>
              </w:rPr>
            </w:pPr>
            <w:r>
              <w:rPr>
                <w:rFonts w:hint="eastAsia" w:ascii="宋体" w:hAnsi="宋体" w:eastAsia="宋体" w:cs="宋体"/>
                <w:b/>
                <w:kern w:val="0"/>
                <w:sz w:val="20"/>
                <w:szCs w:val="20"/>
                <w:lang w:val="en-US" w:eastAsia="zh-CN" w:bidi="ar"/>
              </w:rPr>
              <w:t>（五）跨境贸易（</w:t>
            </w:r>
            <w:r>
              <w:rPr>
                <w:rFonts w:hint="default" w:ascii="Calibri" w:hAnsi="Calibri" w:eastAsia="宋体" w:cs="Calibri"/>
                <w:b/>
                <w:kern w:val="0"/>
                <w:sz w:val="20"/>
                <w:szCs w:val="20"/>
                <w:lang w:val="en-US" w:eastAsia="zh-CN" w:bidi="ar"/>
              </w:rPr>
              <w:t>3</w:t>
            </w:r>
            <w:r>
              <w:rPr>
                <w:rFonts w:hint="eastAsia" w:ascii="宋体" w:hAnsi="宋体" w:eastAsia="宋体" w:cs="宋体"/>
                <w:b/>
                <w:kern w:val="0"/>
                <w:sz w:val="20"/>
                <w:szCs w:val="20"/>
                <w:lang w:val="en-US" w:eastAsia="zh-CN" w:bidi="ar"/>
              </w:rPr>
              <w:t>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w:t>
            </w:r>
            <w:r>
              <w:rPr>
                <w:rFonts w:hint="eastAsia" w:ascii="宋体" w:hAnsi="宋体" w:eastAsia="宋体" w:cs="宋体"/>
                <w:b/>
                <w:kern w:val="0"/>
                <w:sz w:val="20"/>
                <w:szCs w:val="20"/>
                <w:lang w:val="en-US" w:eastAsia="zh-CN" w:bidi="ar"/>
              </w:rPr>
              <w:t>责任单位：</w:t>
            </w:r>
            <w:r>
              <w:rPr>
                <w:rFonts w:hint="eastAsia" w:ascii="宋体" w:hAnsi="宋体" w:eastAsia="宋体" w:cs="宋体"/>
                <w:kern w:val="0"/>
                <w:sz w:val="20"/>
                <w:szCs w:val="20"/>
                <w:lang w:val="en-US" w:eastAsia="zh-CN" w:bidi="ar"/>
              </w:rPr>
              <w:t>海关总署牵头，交通运输部、商务部等国务院相关部门及各地区按职责分工负责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3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10</w:t>
            </w:r>
          </w:p>
        </w:tc>
        <w:tc>
          <w:tcPr>
            <w:tcW w:w="258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楷体" w:hAnsi="楷体" w:eastAsia="楷体" w:cs="楷体"/>
                <w:kern w:val="0"/>
                <w:sz w:val="20"/>
                <w:szCs w:val="20"/>
                <w:lang w:val="en-US" w:eastAsia="zh-CN" w:bidi="ar"/>
              </w:rPr>
              <w:t>推广应用国际贸易“单一窗口”</w:t>
            </w:r>
          </w:p>
        </w:tc>
        <w:tc>
          <w:tcPr>
            <w:tcW w:w="56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海关、交通运输部门和地方政府通过“单一窗口”、港口电子数据交换中心等信息平台向进出口企业、口岸作业场站推送查验通知，增强通关时效的可预期性。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11</w:t>
            </w:r>
          </w:p>
        </w:tc>
        <w:tc>
          <w:tcPr>
            <w:tcW w:w="25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楷体" w:hAnsi="楷体" w:eastAsia="楷体" w:cs="楷体"/>
                <w:kern w:val="0"/>
                <w:sz w:val="20"/>
                <w:szCs w:val="20"/>
                <w:lang w:val="en-US" w:eastAsia="zh-CN" w:bidi="ar"/>
              </w:rPr>
              <w:t>公开口岸收费目录清单</w:t>
            </w:r>
          </w:p>
        </w:tc>
        <w:tc>
          <w:tcPr>
            <w:tcW w:w="56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公开口岸收费目录清单，规定清单之外不得收费。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12</w:t>
            </w:r>
          </w:p>
        </w:tc>
        <w:tc>
          <w:tcPr>
            <w:tcW w:w="25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楷体" w:hAnsi="楷体" w:eastAsia="楷体" w:cs="楷体"/>
                <w:kern w:val="0"/>
                <w:sz w:val="20"/>
                <w:szCs w:val="20"/>
                <w:lang w:val="en-US" w:eastAsia="zh-CN" w:bidi="ar"/>
              </w:rPr>
              <w:t>口岸通关提前申报</w:t>
            </w:r>
          </w:p>
        </w:tc>
        <w:tc>
          <w:tcPr>
            <w:tcW w:w="56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建立提前申报容错机制，实行“提前申报”和“通关</w:t>
            </w:r>
            <w:r>
              <w:rPr>
                <w:rFonts w:hint="default" w:ascii="Calibri" w:hAnsi="Calibri" w:eastAsia="宋体" w:cs="Calibri"/>
                <w:kern w:val="0"/>
                <w:sz w:val="20"/>
                <w:szCs w:val="20"/>
                <w:lang w:val="en-US" w:eastAsia="zh-CN" w:bidi="ar"/>
              </w:rPr>
              <w:t>+</w:t>
            </w:r>
            <w:r>
              <w:rPr>
                <w:rFonts w:hint="eastAsia" w:ascii="宋体" w:hAnsi="宋体" w:eastAsia="宋体" w:cs="宋体"/>
                <w:kern w:val="0"/>
                <w:sz w:val="20"/>
                <w:szCs w:val="20"/>
                <w:lang w:val="en-US" w:eastAsia="zh-CN" w:bidi="ar"/>
              </w:rPr>
              <w:t>物流并联作业”，在舱单传输后、货物抵达港区前，企业即可向海关办理进出口申报手续，货物运抵后依据风险分析实施快速验放，前推通关作业环节，缩短货物通关时间。海关对提前申报引起的进口日期修改，以及由于装运、配载等原因造成货物变更运输工具的，不予记录报关差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71"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default"/>
              </w:rPr>
            </w:pPr>
            <w:r>
              <w:rPr>
                <w:rFonts w:hint="eastAsia" w:ascii="宋体" w:hAnsi="宋体" w:eastAsia="宋体" w:cs="宋体"/>
                <w:b/>
                <w:kern w:val="0"/>
                <w:sz w:val="20"/>
                <w:szCs w:val="20"/>
                <w:lang w:val="en-US" w:eastAsia="zh-CN" w:bidi="ar"/>
              </w:rPr>
              <w:t>（六）执行合同（</w:t>
            </w:r>
            <w:r>
              <w:rPr>
                <w:rFonts w:hint="default" w:ascii="Calibri" w:hAnsi="Calibri" w:eastAsia="宋体" w:cs="Calibri"/>
                <w:b/>
                <w:kern w:val="0"/>
                <w:sz w:val="20"/>
                <w:szCs w:val="20"/>
                <w:lang w:val="en-US" w:eastAsia="zh-CN" w:bidi="ar"/>
              </w:rPr>
              <w:t>1</w:t>
            </w:r>
            <w:r>
              <w:rPr>
                <w:rFonts w:hint="eastAsia" w:ascii="宋体" w:hAnsi="宋体" w:eastAsia="宋体" w:cs="宋体"/>
                <w:b/>
                <w:kern w:val="0"/>
                <w:sz w:val="20"/>
                <w:szCs w:val="20"/>
                <w:lang w:val="en-US" w:eastAsia="zh-CN" w:bidi="ar"/>
              </w:rPr>
              <w:t>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w:t>
            </w:r>
            <w:r>
              <w:rPr>
                <w:rFonts w:hint="eastAsia" w:ascii="宋体" w:hAnsi="宋体" w:eastAsia="宋体" w:cs="宋体"/>
                <w:b/>
                <w:kern w:val="0"/>
                <w:sz w:val="20"/>
                <w:szCs w:val="20"/>
                <w:lang w:val="en-US" w:eastAsia="zh-CN" w:bidi="ar"/>
              </w:rPr>
              <w:t>责任单位：</w:t>
            </w:r>
            <w:r>
              <w:rPr>
                <w:rFonts w:hint="eastAsia" w:ascii="宋体" w:hAnsi="宋体" w:eastAsia="宋体" w:cs="宋体"/>
                <w:kern w:val="0"/>
                <w:sz w:val="20"/>
                <w:szCs w:val="20"/>
                <w:lang w:val="en-US" w:eastAsia="zh-CN" w:bidi="ar"/>
              </w:rPr>
              <w:t>最高人民法院牵头，司法部等国务院相关部门及各地区按职责分工负责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13</w:t>
            </w:r>
          </w:p>
        </w:tc>
        <w:tc>
          <w:tcPr>
            <w:tcW w:w="258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楷体" w:hAnsi="楷体" w:eastAsia="楷体" w:cs="楷体"/>
                <w:kern w:val="0"/>
                <w:sz w:val="20"/>
                <w:szCs w:val="20"/>
                <w:lang w:val="en-US" w:eastAsia="zh-CN" w:bidi="ar"/>
              </w:rPr>
              <w:t>建立“基本解决执行难”联动机制</w:t>
            </w:r>
          </w:p>
        </w:tc>
        <w:tc>
          <w:tcPr>
            <w:tcW w:w="56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人民法院、人民检察院及发展改革、公安、司法行政、税务、市场监管、房管等单位集中签署执行联动合作协议。各单位对被执行人财产实行网络联动查控，覆盖房产、存款、车辆、证券、工商登记等财产信息；联动采取信用监督惩戒措施，在购买不动产、土地招拍挂、矿产资源开发、担任公职及公司高管，以及乘坐飞机、乘坐高等级列车和席次、投资、招投标等方面对失信被执行人实行限制。</w:t>
            </w:r>
          </w:p>
        </w:tc>
      </w:tr>
    </w:tbl>
    <w:p>
      <w:pPr>
        <w:keepNext w:val="0"/>
        <w:keepLines w:val="0"/>
        <w:widowControl/>
        <w:suppressLineNumbers w:val="0"/>
        <w:jc w:val="left"/>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二、供全国借鉴的改革举措（23项）</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tbl>
      <w:tblPr>
        <w:tblStyle w:val="21"/>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69"/>
        <w:gridCol w:w="2430"/>
        <w:gridCol w:w="577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b/>
                <w:kern w:val="0"/>
                <w:sz w:val="20"/>
                <w:szCs w:val="20"/>
                <w:lang w:val="en-US" w:eastAsia="zh-CN" w:bidi="ar"/>
              </w:rPr>
              <w:t>序号</w:t>
            </w:r>
          </w:p>
        </w:tc>
        <w:tc>
          <w:tcPr>
            <w:tcW w:w="243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b/>
                <w:kern w:val="0"/>
                <w:sz w:val="20"/>
                <w:szCs w:val="20"/>
                <w:lang w:val="en-US" w:eastAsia="zh-CN" w:bidi="ar"/>
              </w:rPr>
              <w:t>改革举措</w:t>
            </w:r>
          </w:p>
        </w:tc>
        <w:tc>
          <w:tcPr>
            <w:tcW w:w="577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b/>
                <w:kern w:val="0"/>
                <w:sz w:val="20"/>
                <w:szCs w:val="20"/>
                <w:lang w:val="en-US" w:eastAsia="zh-CN" w:bidi="ar"/>
              </w:rPr>
              <w:t>主要做法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71"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b/>
                <w:kern w:val="0"/>
                <w:sz w:val="20"/>
                <w:szCs w:val="20"/>
                <w:lang w:val="en-US" w:eastAsia="zh-CN" w:bidi="ar"/>
              </w:rPr>
              <w:t>（一）开办企业（</w:t>
            </w:r>
            <w:r>
              <w:rPr>
                <w:rFonts w:hint="default" w:ascii="Calibri" w:hAnsi="Calibri" w:eastAsia="宋体" w:cs="Calibri"/>
                <w:b/>
                <w:kern w:val="0"/>
                <w:sz w:val="20"/>
                <w:szCs w:val="20"/>
                <w:lang w:val="en-US" w:eastAsia="zh-CN" w:bidi="ar"/>
              </w:rPr>
              <w:t>1</w:t>
            </w:r>
            <w:r>
              <w:rPr>
                <w:rFonts w:hint="eastAsia" w:ascii="宋体" w:hAnsi="宋体" w:eastAsia="宋体" w:cs="宋体"/>
                <w:b/>
                <w:kern w:val="0"/>
                <w:sz w:val="20"/>
                <w:szCs w:val="20"/>
                <w:lang w:val="en-US" w:eastAsia="zh-CN" w:bidi="ar"/>
              </w:rPr>
              <w:t>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w:t>
            </w:r>
            <w:r>
              <w:rPr>
                <w:rFonts w:hint="eastAsia" w:ascii="宋体" w:hAnsi="宋体" w:eastAsia="宋体" w:cs="宋体"/>
                <w:b/>
                <w:kern w:val="0"/>
                <w:sz w:val="20"/>
                <w:szCs w:val="20"/>
                <w:lang w:val="en-US" w:eastAsia="zh-CN" w:bidi="ar"/>
              </w:rPr>
              <w:t>责任单位：</w:t>
            </w:r>
            <w:r>
              <w:rPr>
                <w:rFonts w:hint="eastAsia" w:ascii="宋体" w:hAnsi="宋体" w:eastAsia="宋体" w:cs="宋体"/>
                <w:kern w:val="0"/>
                <w:sz w:val="20"/>
                <w:szCs w:val="20"/>
                <w:lang w:val="en-US" w:eastAsia="zh-CN" w:bidi="ar"/>
              </w:rPr>
              <w:t>市场监管总局牵头，工业和信息化部、人力资源社会保障部、人民银行、税务总局等国务院相关部门及各地区按职责分工负责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1</w:t>
            </w:r>
          </w:p>
        </w:tc>
        <w:tc>
          <w:tcPr>
            <w:tcW w:w="243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楷体" w:hAnsi="楷体" w:eastAsia="楷体" w:cs="楷体"/>
                <w:kern w:val="0"/>
                <w:sz w:val="20"/>
                <w:szCs w:val="20"/>
                <w:lang w:val="en-US" w:eastAsia="zh-CN" w:bidi="ar"/>
              </w:rPr>
              <w:t>提供企业档案“容e查”服务</w:t>
            </w:r>
          </w:p>
        </w:tc>
        <w:tc>
          <w:tcPr>
            <w:tcW w:w="577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为企业提供带有签章和防伪水印的电子档案查询、拷贝服务，“一次拷贝，终生使用”，提升企业档案查询的实效性和便利度。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71"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b/>
                <w:kern w:val="0"/>
                <w:sz w:val="20"/>
                <w:szCs w:val="20"/>
                <w:lang w:val="en-US" w:eastAsia="zh-CN" w:bidi="ar"/>
              </w:rPr>
              <w:t>（二）办理建筑许可（</w:t>
            </w:r>
            <w:r>
              <w:rPr>
                <w:rFonts w:hint="default" w:ascii="Calibri" w:hAnsi="Calibri" w:eastAsia="宋体" w:cs="Calibri"/>
                <w:b/>
                <w:kern w:val="0"/>
                <w:sz w:val="20"/>
                <w:szCs w:val="20"/>
                <w:lang w:val="en-US" w:eastAsia="zh-CN" w:bidi="ar"/>
              </w:rPr>
              <w:t>4</w:t>
            </w:r>
            <w:r>
              <w:rPr>
                <w:rFonts w:hint="eastAsia" w:ascii="宋体" w:hAnsi="宋体" w:eastAsia="宋体" w:cs="宋体"/>
                <w:b/>
                <w:kern w:val="0"/>
                <w:sz w:val="20"/>
                <w:szCs w:val="20"/>
                <w:lang w:val="en-US" w:eastAsia="zh-CN" w:bidi="ar"/>
              </w:rPr>
              <w:t>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w:t>
            </w:r>
            <w:r>
              <w:rPr>
                <w:rFonts w:hint="eastAsia" w:ascii="宋体" w:hAnsi="宋体" w:eastAsia="宋体" w:cs="宋体"/>
                <w:b/>
                <w:kern w:val="0"/>
                <w:sz w:val="20"/>
                <w:szCs w:val="20"/>
                <w:lang w:val="en-US" w:eastAsia="zh-CN" w:bidi="ar"/>
              </w:rPr>
              <w:t>责任单位：</w:t>
            </w:r>
            <w:r>
              <w:rPr>
                <w:rFonts w:hint="eastAsia" w:ascii="宋体" w:hAnsi="宋体" w:eastAsia="宋体" w:cs="宋体"/>
                <w:kern w:val="0"/>
                <w:sz w:val="20"/>
                <w:szCs w:val="20"/>
                <w:lang w:val="en-US" w:eastAsia="zh-CN" w:bidi="ar"/>
              </w:rPr>
              <w:t>住房城乡建设部牵头，国家发展改革委、自然资源部、生态环境部等国务院相关部门及各地区按职责分工负责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2</w:t>
            </w:r>
          </w:p>
        </w:tc>
        <w:tc>
          <w:tcPr>
            <w:tcW w:w="243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楷体" w:hAnsi="楷体" w:eastAsia="楷体" w:cs="楷体"/>
                <w:kern w:val="0"/>
                <w:sz w:val="20"/>
                <w:szCs w:val="20"/>
                <w:lang w:val="en-US" w:eastAsia="zh-CN" w:bidi="ar"/>
              </w:rPr>
              <w:t>优化环境影响评价分类分级管理</w:t>
            </w:r>
          </w:p>
        </w:tc>
        <w:tc>
          <w:tcPr>
            <w:tcW w:w="577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实行环境影响评价分类管理，对不涉及有毒、有害及危险品的仓储、物流配送项目等一批基本不产生生态环境影响的项目，统一不再纳入环评管理。结合各地区实际情况和基层生态环境部门承接能力，优化省级及以下生态环境部门环评审批权限，做到有收有放、放管结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3</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楷体" w:hAnsi="楷体" w:eastAsia="楷体" w:cs="楷体"/>
                <w:kern w:val="0"/>
                <w:sz w:val="20"/>
                <w:szCs w:val="20"/>
                <w:lang w:val="en-US" w:eastAsia="zh-CN" w:bidi="ar"/>
              </w:rPr>
              <w:t>实行数字化联合审图</w:t>
            </w:r>
          </w:p>
        </w:tc>
        <w:tc>
          <w:tcPr>
            <w:tcW w:w="5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实行施工图审查无纸化申报和网上审查，实现多图联审全过程数字化。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4</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楷体" w:hAnsi="楷体" w:eastAsia="楷体" w:cs="楷体"/>
                <w:kern w:val="0"/>
                <w:sz w:val="20"/>
                <w:szCs w:val="20"/>
                <w:lang w:val="en-US" w:eastAsia="zh-CN" w:bidi="ar"/>
              </w:rPr>
              <w:t>推行工程招投标交易全过程电子化</w:t>
            </w:r>
          </w:p>
        </w:tc>
        <w:tc>
          <w:tcPr>
            <w:tcW w:w="5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推行招投标全过程无纸化在线电子交易和电子化监管，全程网上受理、网上审批、网上办结。</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5</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楷体" w:hAnsi="楷体" w:eastAsia="楷体" w:cs="楷体"/>
                <w:kern w:val="0"/>
                <w:sz w:val="20"/>
                <w:szCs w:val="20"/>
                <w:lang w:val="en-US" w:eastAsia="zh-CN" w:bidi="ar"/>
              </w:rPr>
              <w:t>实行施工许可证全程网上办</w:t>
            </w:r>
          </w:p>
        </w:tc>
        <w:tc>
          <w:tcPr>
            <w:tcW w:w="5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实行建筑工程施工许可证网上申报、限时审批、网上发证，申请人全程网上办理。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71"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b/>
                <w:kern w:val="0"/>
                <w:sz w:val="20"/>
                <w:szCs w:val="20"/>
                <w:lang w:val="en-US" w:eastAsia="zh-CN" w:bidi="ar"/>
              </w:rPr>
              <w:t>（三）获得电力（</w:t>
            </w:r>
            <w:r>
              <w:rPr>
                <w:rFonts w:hint="default" w:ascii="Calibri" w:hAnsi="Calibri" w:eastAsia="宋体" w:cs="Calibri"/>
                <w:b/>
                <w:kern w:val="0"/>
                <w:sz w:val="20"/>
                <w:szCs w:val="20"/>
                <w:lang w:val="en-US" w:eastAsia="zh-CN" w:bidi="ar"/>
              </w:rPr>
              <w:t>3</w:t>
            </w:r>
            <w:r>
              <w:rPr>
                <w:rFonts w:hint="eastAsia" w:ascii="宋体" w:hAnsi="宋体" w:eastAsia="宋体" w:cs="宋体"/>
                <w:b/>
                <w:kern w:val="0"/>
                <w:sz w:val="20"/>
                <w:szCs w:val="20"/>
                <w:lang w:val="en-US" w:eastAsia="zh-CN" w:bidi="ar"/>
              </w:rPr>
              <w:t>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w:t>
            </w:r>
            <w:r>
              <w:rPr>
                <w:rFonts w:hint="eastAsia" w:ascii="宋体" w:hAnsi="宋体" w:eastAsia="宋体" w:cs="宋体"/>
                <w:b/>
                <w:kern w:val="0"/>
                <w:sz w:val="20"/>
                <w:szCs w:val="20"/>
                <w:lang w:val="en-US" w:eastAsia="zh-CN" w:bidi="ar"/>
              </w:rPr>
              <w:t>责任单位：</w:t>
            </w:r>
            <w:r>
              <w:rPr>
                <w:rFonts w:hint="eastAsia" w:ascii="宋体" w:hAnsi="宋体" w:eastAsia="宋体" w:cs="宋体"/>
                <w:kern w:val="0"/>
                <w:sz w:val="20"/>
                <w:szCs w:val="20"/>
                <w:lang w:val="en-US" w:eastAsia="zh-CN" w:bidi="ar"/>
              </w:rPr>
              <w:t>国家能源局牵头，国家电网有限公司、中国南方电网有限责任公司、内蒙古电力（集团）有限责任公司等电网企业及各地区按职责分工负责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6</w:t>
            </w:r>
          </w:p>
        </w:tc>
        <w:tc>
          <w:tcPr>
            <w:tcW w:w="243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楷体" w:hAnsi="楷体" w:eastAsia="楷体" w:cs="楷体"/>
                <w:kern w:val="0"/>
                <w:sz w:val="20"/>
                <w:szCs w:val="20"/>
                <w:lang w:val="en-US" w:eastAsia="zh-CN" w:bidi="ar"/>
              </w:rPr>
              <w:t>提供低压小微企业接电“零上门零审批零投资”服务</w:t>
            </w:r>
          </w:p>
        </w:tc>
        <w:tc>
          <w:tcPr>
            <w:tcW w:w="577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提供低压小微企业接电“零上门零审批零投资”服务，压缩小微企业获得电力报装时间、环节及成本，前置到申请环节在线完成合同签订。将电网接入工程中的规划许可、绿化许可、掘路许可等审批环节从串联前置审批改为并联同步操作，取消低压小微企业用户外部接电工程费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7</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楷体" w:hAnsi="楷体" w:eastAsia="楷体" w:cs="楷体"/>
                <w:kern w:val="0"/>
                <w:sz w:val="20"/>
                <w:szCs w:val="20"/>
                <w:lang w:val="en-US" w:eastAsia="zh-CN" w:bidi="ar"/>
              </w:rPr>
              <w:t>提供客户接电移动作业终端实时响应服务</w:t>
            </w:r>
          </w:p>
        </w:tc>
        <w:tc>
          <w:tcPr>
            <w:tcW w:w="5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创新勘察设计移动作业终端，实时响应客户接电需求，整合典型设计、配网资源、地理信息等大数据。应用基于</w:t>
            </w:r>
            <w:r>
              <w:rPr>
                <w:rFonts w:hint="default" w:ascii="Calibri" w:hAnsi="Calibri" w:eastAsia="宋体" w:cs="Calibri"/>
                <w:kern w:val="0"/>
                <w:sz w:val="20"/>
                <w:szCs w:val="20"/>
                <w:lang w:val="en-US" w:eastAsia="zh-CN" w:bidi="ar"/>
              </w:rPr>
              <w:t>GIS</w:t>
            </w:r>
            <w:r>
              <w:rPr>
                <w:rFonts w:hint="eastAsia" w:ascii="宋体" w:hAnsi="宋体" w:eastAsia="宋体" w:cs="宋体"/>
                <w:kern w:val="0"/>
                <w:sz w:val="20"/>
                <w:szCs w:val="20"/>
                <w:lang w:val="en-US" w:eastAsia="zh-CN" w:bidi="ar"/>
              </w:rPr>
              <w:t>系统的移动作业终端，精准定位用户，自动搜索电源，推行典型设计。通过</w:t>
            </w:r>
            <w:r>
              <w:rPr>
                <w:rFonts w:hint="default" w:ascii="Calibri" w:hAnsi="Calibri" w:eastAsia="宋体" w:cs="Calibri"/>
                <w:kern w:val="0"/>
                <w:sz w:val="20"/>
                <w:szCs w:val="20"/>
                <w:lang w:val="en-US" w:eastAsia="zh-CN" w:bidi="ar"/>
              </w:rPr>
              <w:t>GPS</w:t>
            </w:r>
            <w:r>
              <w:rPr>
                <w:rFonts w:hint="eastAsia" w:ascii="宋体" w:hAnsi="宋体" w:eastAsia="宋体" w:cs="宋体"/>
                <w:kern w:val="0"/>
                <w:sz w:val="20"/>
                <w:szCs w:val="20"/>
                <w:lang w:val="en-US" w:eastAsia="zh-CN" w:bidi="ar"/>
              </w:rPr>
              <w:t>定位作业现场，实现电网资源数据与客户需求互联互通，压减现场勘察时间。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8</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楷体" w:hAnsi="楷体" w:eastAsia="楷体" w:cs="楷体"/>
                <w:kern w:val="0"/>
                <w:sz w:val="20"/>
                <w:szCs w:val="20"/>
                <w:lang w:val="en-US" w:eastAsia="zh-CN" w:bidi="ar"/>
              </w:rPr>
              <w:t>实行接电工程双经理负责制</w:t>
            </w:r>
          </w:p>
        </w:tc>
        <w:tc>
          <w:tcPr>
            <w:tcW w:w="5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客户经理负责项目整体协调推进，项目经理负责外线工程建设，实现“受理业务、施工准备、工程实施、计划排定”责任到人。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71"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b/>
                <w:kern w:val="0"/>
                <w:sz w:val="20"/>
                <w:szCs w:val="20"/>
                <w:lang w:val="en-US" w:eastAsia="zh-CN" w:bidi="ar"/>
              </w:rPr>
              <w:t>（四）登记财产（</w:t>
            </w:r>
            <w:r>
              <w:rPr>
                <w:rFonts w:hint="default" w:ascii="Calibri" w:hAnsi="Calibri" w:eastAsia="宋体" w:cs="Calibri"/>
                <w:b/>
                <w:kern w:val="0"/>
                <w:sz w:val="20"/>
                <w:szCs w:val="20"/>
                <w:lang w:val="en-US" w:eastAsia="zh-CN" w:bidi="ar"/>
              </w:rPr>
              <w:t>3</w:t>
            </w:r>
            <w:r>
              <w:rPr>
                <w:rFonts w:hint="eastAsia" w:ascii="宋体" w:hAnsi="宋体" w:eastAsia="宋体" w:cs="宋体"/>
                <w:b/>
                <w:kern w:val="0"/>
                <w:sz w:val="20"/>
                <w:szCs w:val="20"/>
                <w:lang w:val="en-US" w:eastAsia="zh-CN" w:bidi="ar"/>
              </w:rPr>
              <w:t>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w:t>
            </w:r>
            <w:r>
              <w:rPr>
                <w:rFonts w:hint="eastAsia" w:ascii="宋体" w:hAnsi="宋体" w:eastAsia="宋体" w:cs="宋体"/>
                <w:b/>
                <w:kern w:val="0"/>
                <w:sz w:val="20"/>
                <w:szCs w:val="20"/>
                <w:lang w:val="en-US" w:eastAsia="zh-CN" w:bidi="ar"/>
              </w:rPr>
              <w:t>责任单位：</w:t>
            </w:r>
            <w:r>
              <w:rPr>
                <w:rFonts w:hint="eastAsia" w:ascii="宋体" w:hAnsi="宋体" w:eastAsia="宋体" w:cs="宋体"/>
                <w:kern w:val="0"/>
                <w:sz w:val="20"/>
                <w:szCs w:val="20"/>
                <w:lang w:val="en-US" w:eastAsia="zh-CN" w:bidi="ar"/>
              </w:rPr>
              <w:t>自然资源部牵头，国务院相关部门及各地区按职责分工负责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9</w:t>
            </w:r>
          </w:p>
        </w:tc>
        <w:tc>
          <w:tcPr>
            <w:tcW w:w="243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楷体" w:hAnsi="楷体" w:eastAsia="楷体" w:cs="楷体"/>
                <w:kern w:val="0"/>
                <w:sz w:val="20"/>
                <w:szCs w:val="20"/>
                <w:lang w:val="en-US" w:eastAsia="zh-CN" w:bidi="ar"/>
              </w:rPr>
              <w:t>推行不动产登记信息和地籍管理信息互联互通</w:t>
            </w:r>
          </w:p>
        </w:tc>
        <w:tc>
          <w:tcPr>
            <w:tcW w:w="577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建立省级层面统一的不动产登记和地籍管理信息系统平台，以不动产登记单元号作为唯一关联码，实现不动产登记“带图作业”，登记信息和地籍管理信息融合互通。平台同时实现网上申请、登记办理、网上查询、信息共享等多种功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10</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楷体" w:hAnsi="楷体" w:eastAsia="楷体" w:cs="楷体"/>
                <w:kern w:val="0"/>
                <w:sz w:val="20"/>
                <w:szCs w:val="20"/>
                <w:lang w:val="en-US" w:eastAsia="zh-CN" w:bidi="ar"/>
              </w:rPr>
              <w:t>实行不动产登记电子证照协同互认</w:t>
            </w:r>
          </w:p>
        </w:tc>
        <w:tc>
          <w:tcPr>
            <w:tcW w:w="5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推进政务服务“一网通办”，推行不动产登记电子证照协同互认。通过部门间数据共享获取不动产登记业务办理需要的数据，不再要求申请人重复提交。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11</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楷体" w:hAnsi="楷体" w:eastAsia="楷体" w:cs="楷体"/>
                <w:kern w:val="0"/>
                <w:sz w:val="20"/>
                <w:szCs w:val="20"/>
                <w:lang w:val="en-US" w:eastAsia="zh-CN" w:bidi="ar"/>
              </w:rPr>
              <w:t>建立健全不动产登记和土地权籍测绘投诉机制及土地纠纷相关信息公开制度</w:t>
            </w:r>
          </w:p>
        </w:tc>
        <w:tc>
          <w:tcPr>
            <w:tcW w:w="5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设立投诉热线，专门负责不动产登记和土地测绘调查的投诉处理。在自然资源管理部门和高级人民法院网站设立“土地权属争议调查处理统计查询”和“法院涉及土地纠纷案件统计查询”栏目，向社会公开土地权属争议案件的调查处理情况，在“法院审判信息网”同步公开涉及土地纠纷案件的审理情况及数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71"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b/>
                <w:kern w:val="0"/>
                <w:sz w:val="20"/>
                <w:szCs w:val="20"/>
                <w:lang w:val="en-US" w:eastAsia="zh-CN" w:bidi="ar"/>
              </w:rPr>
              <w:t>（五）缴纳税费（</w:t>
            </w:r>
            <w:r>
              <w:rPr>
                <w:rFonts w:hint="default" w:ascii="Calibri" w:hAnsi="Calibri" w:eastAsia="宋体" w:cs="Calibri"/>
                <w:b/>
                <w:kern w:val="0"/>
                <w:sz w:val="20"/>
                <w:szCs w:val="20"/>
                <w:lang w:val="en-US" w:eastAsia="zh-CN" w:bidi="ar"/>
              </w:rPr>
              <w:t>2</w:t>
            </w:r>
            <w:r>
              <w:rPr>
                <w:rFonts w:hint="eastAsia" w:ascii="宋体" w:hAnsi="宋体" w:eastAsia="宋体" w:cs="宋体"/>
                <w:b/>
                <w:kern w:val="0"/>
                <w:sz w:val="20"/>
                <w:szCs w:val="20"/>
                <w:lang w:val="en-US" w:eastAsia="zh-CN" w:bidi="ar"/>
              </w:rPr>
              <w:t>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w:t>
            </w:r>
            <w:r>
              <w:rPr>
                <w:rFonts w:hint="eastAsia" w:ascii="宋体" w:hAnsi="宋体" w:eastAsia="宋体" w:cs="宋体"/>
                <w:b/>
                <w:kern w:val="0"/>
                <w:sz w:val="20"/>
                <w:szCs w:val="20"/>
                <w:lang w:val="en-US" w:eastAsia="zh-CN" w:bidi="ar"/>
              </w:rPr>
              <w:t>责任单位：</w:t>
            </w:r>
            <w:r>
              <w:rPr>
                <w:rFonts w:hint="eastAsia" w:ascii="宋体" w:hAnsi="宋体" w:eastAsia="宋体" w:cs="宋体"/>
                <w:kern w:val="0"/>
                <w:sz w:val="20"/>
                <w:szCs w:val="20"/>
                <w:lang w:val="en-US" w:eastAsia="zh-CN" w:bidi="ar"/>
              </w:rPr>
              <w:t>财政部牵头，人力资源社会保障部、住房城乡建设部、税务总局等国务院相关部门及各地区按职责分工负责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12</w:t>
            </w:r>
          </w:p>
        </w:tc>
        <w:tc>
          <w:tcPr>
            <w:tcW w:w="243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楷体" w:hAnsi="楷体" w:eastAsia="楷体" w:cs="楷体"/>
                <w:kern w:val="0"/>
                <w:sz w:val="20"/>
                <w:szCs w:val="20"/>
                <w:lang w:val="en-US" w:eastAsia="zh-CN" w:bidi="ar"/>
              </w:rPr>
              <w:t>住房公积金缴存业务全程网上办、“通缴通取”</w:t>
            </w:r>
          </w:p>
        </w:tc>
        <w:tc>
          <w:tcPr>
            <w:tcW w:w="577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推行住房公积金单位登记开户、单位信息变更、缴存业务全程网上办；住房公积金归集业务“通缴通取”，缴存单位和缴存人可就近自行办理业务。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13</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楷体" w:hAnsi="楷体" w:eastAsia="楷体" w:cs="楷体"/>
                <w:kern w:val="0"/>
                <w:sz w:val="20"/>
                <w:szCs w:val="20"/>
                <w:lang w:val="en-US" w:eastAsia="zh-CN" w:bidi="ar"/>
              </w:rPr>
              <w:t>实行纳税人线上“一表申请”、“一键报税”</w:t>
            </w:r>
          </w:p>
        </w:tc>
        <w:tc>
          <w:tcPr>
            <w:tcW w:w="5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打造电子税务局，探索“财税一体化”，实现企业财务报表与税务申报表数据自动转换，逐步扩大“一键报税”范围。符合条件的纳税人在电子税务局上申请发票配送，选择提货方式、配送地址、配送公司、申领份数，税务部门提供发票配送上门服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71"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b/>
                <w:kern w:val="0"/>
                <w:sz w:val="20"/>
                <w:szCs w:val="20"/>
                <w:lang w:val="en-US" w:eastAsia="zh-CN" w:bidi="ar"/>
              </w:rPr>
              <w:t>（六）跨境贸易（</w:t>
            </w:r>
            <w:r>
              <w:rPr>
                <w:rFonts w:hint="default" w:ascii="Calibri" w:hAnsi="Calibri" w:eastAsia="宋体" w:cs="Calibri"/>
                <w:b/>
                <w:kern w:val="0"/>
                <w:sz w:val="20"/>
                <w:szCs w:val="20"/>
                <w:lang w:val="en-US" w:eastAsia="zh-CN" w:bidi="ar"/>
              </w:rPr>
              <w:t>7</w:t>
            </w:r>
            <w:r>
              <w:rPr>
                <w:rFonts w:hint="eastAsia" w:ascii="宋体" w:hAnsi="宋体" w:eastAsia="宋体" w:cs="宋体"/>
                <w:b/>
                <w:kern w:val="0"/>
                <w:sz w:val="20"/>
                <w:szCs w:val="20"/>
                <w:lang w:val="en-US" w:eastAsia="zh-CN" w:bidi="ar"/>
              </w:rPr>
              <w:t>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w:t>
            </w:r>
            <w:r>
              <w:rPr>
                <w:rFonts w:hint="eastAsia" w:ascii="宋体" w:hAnsi="宋体" w:eastAsia="宋体" w:cs="宋体"/>
                <w:b/>
                <w:kern w:val="0"/>
                <w:sz w:val="20"/>
                <w:szCs w:val="20"/>
                <w:lang w:val="en-US" w:eastAsia="zh-CN" w:bidi="ar"/>
              </w:rPr>
              <w:t>责任单位：</w:t>
            </w:r>
            <w:r>
              <w:rPr>
                <w:rFonts w:hint="eastAsia" w:ascii="宋体" w:hAnsi="宋体" w:eastAsia="宋体" w:cs="宋体"/>
                <w:kern w:val="0"/>
                <w:sz w:val="20"/>
                <w:szCs w:val="20"/>
                <w:lang w:val="en-US" w:eastAsia="zh-CN" w:bidi="ar"/>
              </w:rPr>
              <w:t>海关总署牵头，交通运输部、商务部等国务院相关部门及各地区按职责分工负责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14</w:t>
            </w:r>
          </w:p>
        </w:tc>
        <w:tc>
          <w:tcPr>
            <w:tcW w:w="243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楷体" w:hAnsi="楷体" w:eastAsia="楷体" w:cs="楷体"/>
                <w:kern w:val="0"/>
                <w:sz w:val="20"/>
                <w:szCs w:val="20"/>
                <w:lang w:val="en-US" w:eastAsia="zh-CN" w:bidi="ar"/>
              </w:rPr>
              <w:t>实行通关全流程电子化</w:t>
            </w:r>
          </w:p>
        </w:tc>
        <w:tc>
          <w:tcPr>
            <w:tcW w:w="577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实行进口许可证件申领和通关作业无纸化，减少进出口环节验核的监管证件，全面推广电子报关委托，实现网上申报、自助打印。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15</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楷体" w:hAnsi="楷体" w:eastAsia="楷体" w:cs="楷体"/>
                <w:kern w:val="0"/>
                <w:sz w:val="20"/>
                <w:szCs w:val="20"/>
                <w:lang w:val="en-US" w:eastAsia="zh-CN" w:bidi="ar"/>
              </w:rPr>
              <w:t>推行海关内部核批“一步作业”</w:t>
            </w:r>
          </w:p>
        </w:tc>
        <w:tc>
          <w:tcPr>
            <w:tcW w:w="5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简化和下放部分海关内部核批作业，“两步作业”减为“一步作业”。如报关单修撤、直接退运、暂时进出口货物及延期、特殊通道申报等，在通关现场完成核批，职能管理部门开展后续核查、不再事中干预。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16</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楷体" w:hAnsi="楷体" w:eastAsia="楷体" w:cs="楷体"/>
                <w:kern w:val="0"/>
                <w:sz w:val="20"/>
                <w:szCs w:val="20"/>
                <w:lang w:val="en-US" w:eastAsia="zh-CN" w:bidi="ar"/>
              </w:rPr>
              <w:t>推行集装箱设备交接单无纸化</w:t>
            </w:r>
          </w:p>
        </w:tc>
        <w:tc>
          <w:tcPr>
            <w:tcW w:w="5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按照先易后难原则选取企业进行双轨制试点，在保留使用现行纸质单证的同时，通过上海水运口岸国际集装箱设备交接单无纸化系统平台，实现信息电子化传递。出口集装箱进港无需向港区码头提交纸质集装箱装箱单，凭电子装箱单信息即可完成出口集装箱进港业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17</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楷体" w:hAnsi="楷体" w:eastAsia="楷体" w:cs="楷体"/>
                <w:kern w:val="0"/>
                <w:sz w:val="20"/>
                <w:szCs w:val="20"/>
                <w:lang w:val="en-US" w:eastAsia="zh-CN" w:bidi="ar"/>
              </w:rPr>
              <w:t>实行口岸分类验放</w:t>
            </w:r>
          </w:p>
        </w:tc>
        <w:tc>
          <w:tcPr>
            <w:tcW w:w="5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在监管场所联网基础上，对进口汽车零部件直接采信</w:t>
            </w:r>
            <w:r>
              <w:rPr>
                <w:rFonts w:hint="default" w:ascii="Calibri" w:hAnsi="Calibri" w:eastAsia="宋体" w:cs="Calibri"/>
                <w:kern w:val="0"/>
                <w:sz w:val="20"/>
                <w:szCs w:val="20"/>
                <w:lang w:val="en-US" w:eastAsia="zh-CN" w:bidi="ar"/>
              </w:rPr>
              <w:t>CCC</w:t>
            </w:r>
            <w:r>
              <w:rPr>
                <w:rFonts w:hint="eastAsia" w:ascii="宋体" w:hAnsi="宋体" w:eastAsia="宋体" w:cs="宋体"/>
                <w:kern w:val="0"/>
                <w:sz w:val="20"/>
                <w:szCs w:val="20"/>
                <w:lang w:val="en-US" w:eastAsia="zh-CN" w:bidi="ar"/>
              </w:rPr>
              <w:t>认证结果；对进口矿产品先放行后检测；对鲜活农产品实施绿色通道即到即查，合格的快速放行；对符合条件商品的木质包装实施优先检疫、集中监管等便利措施，优化监管流程。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18</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楷体" w:hAnsi="楷体" w:eastAsia="楷体" w:cs="楷体"/>
                <w:kern w:val="0"/>
                <w:sz w:val="20"/>
                <w:szCs w:val="20"/>
                <w:lang w:val="en-US" w:eastAsia="zh-CN" w:bidi="ar"/>
              </w:rPr>
              <w:t>实行跨境贸易大数据监管</w:t>
            </w:r>
          </w:p>
        </w:tc>
        <w:tc>
          <w:tcPr>
            <w:tcW w:w="5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开发应用跨境贸易管理大数据平台，采集贸易链、供应链、物流链、金融链、政务链的全程数据，与上海大数据中心、中国（上海）国际贸易“单一窗口”、航运企业、海空港口、生产经营企业等进行对接，实行信息共享互用、联网核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19</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楷体" w:hAnsi="楷体" w:eastAsia="楷体" w:cs="楷体"/>
                <w:kern w:val="0"/>
                <w:sz w:val="20"/>
                <w:szCs w:val="20"/>
                <w:lang w:val="en-US" w:eastAsia="zh-CN" w:bidi="ar"/>
              </w:rPr>
              <w:t>优化关税征管全流程服务</w:t>
            </w:r>
          </w:p>
        </w:tc>
        <w:tc>
          <w:tcPr>
            <w:tcW w:w="5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为企业提供归类先例、税收要素预裁定等服务；推广关税保证保险和企业自助打印出口原产地证书、税单等凭证；推动属地纳税人管理制度落地，打造企业可选择、结果可预期的纳税模式。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20</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楷体" w:hAnsi="楷体" w:eastAsia="楷体" w:cs="楷体"/>
                <w:kern w:val="0"/>
                <w:sz w:val="20"/>
                <w:szCs w:val="20"/>
                <w:lang w:val="en-US" w:eastAsia="zh-CN" w:bidi="ar"/>
              </w:rPr>
              <w:t>同步通关和物流作业</w:t>
            </w:r>
          </w:p>
        </w:tc>
        <w:tc>
          <w:tcPr>
            <w:tcW w:w="5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建立集装箱“通关</w:t>
            </w:r>
            <w:r>
              <w:rPr>
                <w:rFonts w:hint="default" w:ascii="Calibri" w:hAnsi="Calibri" w:eastAsia="宋体" w:cs="Calibri"/>
                <w:kern w:val="0"/>
                <w:sz w:val="20"/>
                <w:szCs w:val="20"/>
                <w:lang w:val="en-US" w:eastAsia="zh-CN" w:bidi="ar"/>
              </w:rPr>
              <w:t>+</w:t>
            </w:r>
            <w:r>
              <w:rPr>
                <w:rFonts w:hint="eastAsia" w:ascii="宋体" w:hAnsi="宋体" w:eastAsia="宋体" w:cs="宋体"/>
                <w:kern w:val="0"/>
                <w:sz w:val="20"/>
                <w:szCs w:val="20"/>
                <w:lang w:val="en-US" w:eastAsia="zh-CN" w:bidi="ar"/>
              </w:rPr>
              <w:t>物流”应用系统，同步进行通关和物流作业。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071"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b/>
                <w:kern w:val="0"/>
                <w:sz w:val="20"/>
                <w:szCs w:val="20"/>
                <w:lang w:val="en-US" w:eastAsia="zh-CN" w:bidi="ar"/>
              </w:rPr>
              <w:t>（七）执行合同（</w:t>
            </w:r>
            <w:r>
              <w:rPr>
                <w:rFonts w:hint="default" w:ascii="Calibri" w:hAnsi="Calibri" w:eastAsia="宋体" w:cs="Calibri"/>
                <w:b/>
                <w:kern w:val="0"/>
                <w:sz w:val="20"/>
                <w:szCs w:val="20"/>
                <w:lang w:val="en-US" w:eastAsia="zh-CN" w:bidi="ar"/>
              </w:rPr>
              <w:t>3</w:t>
            </w:r>
            <w:r>
              <w:rPr>
                <w:rFonts w:hint="eastAsia" w:ascii="宋体" w:hAnsi="宋体" w:eastAsia="宋体" w:cs="宋体"/>
                <w:b/>
                <w:kern w:val="0"/>
                <w:sz w:val="20"/>
                <w:szCs w:val="20"/>
                <w:lang w:val="en-US" w:eastAsia="zh-CN" w:bidi="ar"/>
              </w:rPr>
              <w:t>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w:t>
            </w:r>
            <w:r>
              <w:rPr>
                <w:rFonts w:hint="eastAsia" w:ascii="宋体" w:hAnsi="宋体" w:eastAsia="宋体" w:cs="宋体"/>
                <w:b/>
                <w:kern w:val="0"/>
                <w:sz w:val="20"/>
                <w:szCs w:val="20"/>
                <w:lang w:val="en-US" w:eastAsia="zh-CN" w:bidi="ar"/>
              </w:rPr>
              <w:t>责任单位：</w:t>
            </w:r>
            <w:r>
              <w:rPr>
                <w:rFonts w:hint="eastAsia" w:ascii="宋体" w:hAnsi="宋体" w:eastAsia="宋体" w:cs="宋体"/>
                <w:kern w:val="0"/>
                <w:sz w:val="20"/>
                <w:szCs w:val="20"/>
                <w:lang w:val="en-US" w:eastAsia="zh-CN" w:bidi="ar"/>
              </w:rPr>
              <w:t>最高人民法院牵头，司法部等国务院相关部门及各地区按职责分工负责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21</w:t>
            </w:r>
          </w:p>
        </w:tc>
        <w:tc>
          <w:tcPr>
            <w:tcW w:w="243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楷体" w:hAnsi="楷体" w:eastAsia="楷体" w:cs="楷体"/>
                <w:kern w:val="0"/>
                <w:sz w:val="20"/>
                <w:szCs w:val="20"/>
                <w:lang w:val="en-US" w:eastAsia="zh-CN" w:bidi="ar"/>
              </w:rPr>
              <w:t>推行法院网上立案与司法数据常态化公开</w:t>
            </w:r>
          </w:p>
        </w:tc>
        <w:tc>
          <w:tcPr>
            <w:tcW w:w="577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对买卖合同、金融借款合同、委托合同等商事案件开通网上直接立案。当事人申请网上立案符合立案条件的，人民法院即予以登记立案，并在线生成诉讼费用缴纳通知书发送给原告，原告可以不再另行提交纸质诉状。高级人民法院在门户网站设立常态化司法公开平台，向社会动态公开辖区内三级法院商事案件平均审理天数、结案率等信息。设立诉讼服务平台或热线，向当事人公开单一案件受理、缴费、开庭日期等案件进展信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22</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楷体" w:hAnsi="楷体" w:eastAsia="楷体" w:cs="楷体"/>
                <w:kern w:val="0"/>
                <w:sz w:val="20"/>
                <w:szCs w:val="20"/>
                <w:lang w:val="en-US" w:eastAsia="zh-CN" w:bidi="ar"/>
              </w:rPr>
              <w:t>推行全流程网络化办案</w:t>
            </w:r>
          </w:p>
        </w:tc>
        <w:tc>
          <w:tcPr>
            <w:tcW w:w="5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高级人民法院探索统筹建设网络办案系统，实行当事人诉讼和法院审判全流程网上办理，将规定的一审民商事案件所涉诉讼流程全部纳入数据化办理平台，同时在网上平台设立“数字卷宗”，当事人提交的和法院办案中产生的材料全部自动归集、自动归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rPr>
            </w:pPr>
            <w:r>
              <w:rPr>
                <w:rFonts w:hint="eastAsia" w:ascii="宋体" w:hAnsi="宋体" w:eastAsia="宋体" w:cs="宋体"/>
                <w:kern w:val="0"/>
                <w:sz w:val="20"/>
                <w:szCs w:val="20"/>
                <w:lang w:val="en-US" w:eastAsia="zh-CN" w:bidi="ar"/>
              </w:rPr>
              <w:t>23</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楷体" w:hAnsi="楷体" w:eastAsia="楷体" w:cs="楷体"/>
                <w:kern w:val="0"/>
                <w:sz w:val="20"/>
                <w:szCs w:val="20"/>
                <w:lang w:val="en-US" w:eastAsia="zh-CN" w:bidi="ar"/>
              </w:rPr>
              <w:t>构建诉讼服务平台</w:t>
            </w:r>
          </w:p>
        </w:tc>
        <w:tc>
          <w:tcPr>
            <w:tcW w:w="5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rPr>
                <w:rFonts w:hint="default"/>
              </w:rPr>
            </w:pPr>
            <w:r>
              <w:rPr>
                <w:rFonts w:hint="eastAsia" w:ascii="宋体" w:hAnsi="宋体" w:eastAsia="宋体" w:cs="宋体"/>
                <w:kern w:val="0"/>
                <w:sz w:val="20"/>
                <w:szCs w:val="20"/>
                <w:lang w:val="en-US" w:eastAsia="zh-CN" w:bidi="ar"/>
              </w:rPr>
              <w:t>高级人民法院牵头，会同司法行政部门，建设供律师使用的诉讼平台。平台主要服务功能包括：网上立案、案件查询、文书送达、材料提交、开庭提醒、联系法官、卷宗借阅、找法问案、网上交费、证据交换等；提供立案流程指引、网上立案、诉讼费计算、诉讼费用缴纳、文书样式查询、个案查询、失信被执行人信息查询、司法拍卖、在线调解等诉讼服务。</w:t>
            </w:r>
          </w:p>
        </w:tc>
      </w:tr>
    </w:tbl>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注：上述36项改革举措的</w:t>
      </w:r>
      <w:r>
        <w:rPr>
          <w:rFonts w:hint="eastAsia" w:ascii="宋体" w:hAnsi="宋体" w:eastAsia="宋体" w:cs="宋体"/>
          <w:i w:val="0"/>
          <w:caps w:val="0"/>
          <w:color w:val="0000FF"/>
          <w:spacing w:val="0"/>
          <w:sz w:val="19"/>
          <w:szCs w:val="19"/>
          <w:u w:val="none"/>
          <w:shd w:val="clear" w:fill="FFFFFF"/>
        </w:rPr>
        <w:fldChar w:fldCharType="begin"/>
      </w:r>
      <w:r>
        <w:rPr>
          <w:rFonts w:hint="eastAsia" w:ascii="宋体" w:hAnsi="宋体" w:eastAsia="宋体" w:cs="宋体"/>
          <w:i w:val="0"/>
          <w:caps w:val="0"/>
          <w:color w:val="0000FF"/>
          <w:spacing w:val="0"/>
          <w:sz w:val="19"/>
          <w:szCs w:val="19"/>
          <w:u w:val="none"/>
          <w:shd w:val="clear" w:fill="FFFFFF"/>
        </w:rPr>
        <w:instrText xml:space="preserve"> HYPERLINK "http://www.gov.cn/xinwen/2019-09/19/content_5431347.htm" \t "http://www.gov.cn/zhengce/content/2019-09/19/_blank" </w:instrText>
      </w:r>
      <w:r>
        <w:rPr>
          <w:rFonts w:hint="eastAsia" w:ascii="宋体" w:hAnsi="宋体" w:eastAsia="宋体" w:cs="宋体"/>
          <w:i w:val="0"/>
          <w:caps w:val="0"/>
          <w:color w:val="0000FF"/>
          <w:spacing w:val="0"/>
          <w:sz w:val="19"/>
          <w:szCs w:val="19"/>
          <w:u w:val="none"/>
          <w:shd w:val="clear" w:fill="FFFFFF"/>
        </w:rPr>
        <w:fldChar w:fldCharType="separate"/>
      </w:r>
      <w:r>
        <w:rPr>
          <w:rStyle w:val="28"/>
          <w:rFonts w:hint="eastAsia" w:ascii="宋体" w:hAnsi="宋体" w:eastAsia="宋体" w:cs="宋体"/>
          <w:i w:val="0"/>
          <w:caps w:val="0"/>
          <w:color w:val="0000FF"/>
          <w:spacing w:val="0"/>
          <w:sz w:val="19"/>
          <w:szCs w:val="19"/>
          <w:u w:val="none"/>
          <w:shd w:val="clear" w:fill="FFFFFF"/>
        </w:rPr>
        <w:t>京沪两地相关具体做法</w:t>
      </w:r>
      <w:r>
        <w:rPr>
          <w:rFonts w:hint="eastAsia" w:ascii="宋体" w:hAnsi="宋体" w:eastAsia="宋体" w:cs="宋体"/>
          <w:i w:val="0"/>
          <w:caps w:val="0"/>
          <w:color w:val="0000FF"/>
          <w:spacing w:val="0"/>
          <w:sz w:val="19"/>
          <w:szCs w:val="19"/>
          <w:u w:val="none"/>
          <w:shd w:val="clear" w:fill="FFFFFF"/>
        </w:rPr>
        <w:fldChar w:fldCharType="end"/>
      </w:r>
      <w:r>
        <w:rPr>
          <w:rFonts w:hint="eastAsia" w:ascii="宋体" w:hAnsi="宋体" w:eastAsia="宋体" w:cs="宋体"/>
          <w:i w:val="0"/>
          <w:caps w:val="0"/>
          <w:color w:val="333333"/>
          <w:spacing w:val="0"/>
          <w:sz w:val="19"/>
          <w:szCs w:val="19"/>
          <w:shd w:val="clear" w:fill="FFFFFF"/>
        </w:rPr>
        <w:t>，将同步在中国政府网公布。</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21"/>
          <w:szCs w:val="21"/>
          <w:shd w:val="clear"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21"/>
          <w:szCs w:val="21"/>
          <w:shd w:val="clear"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21"/>
          <w:szCs w:val="21"/>
          <w:shd w:val="clear"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21"/>
          <w:szCs w:val="21"/>
          <w:shd w:val="clear" w:fill="FFFFFF"/>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宋体" w:hAnsi="宋体" w:eastAsia="宋体" w:cs="宋体"/>
          <w:i w:val="0"/>
          <w:caps w:val="0"/>
          <w:color w:val="333333"/>
          <w:spacing w:val="0"/>
          <w:sz w:val="30"/>
          <w:szCs w:val="30"/>
        </w:rPr>
      </w:pPr>
      <w:bookmarkStart w:id="71" w:name="_Toc17167"/>
      <w:r>
        <w:rPr>
          <w:rFonts w:hint="eastAsia" w:ascii="宋体" w:hAnsi="宋体" w:eastAsia="宋体" w:cs="宋体"/>
          <w:b/>
          <w:i w:val="0"/>
          <w:caps w:val="0"/>
          <w:color w:val="333333"/>
          <w:spacing w:val="0"/>
          <w:sz w:val="30"/>
          <w:szCs w:val="30"/>
          <w:shd w:val="clear" w:fill="FFFFFF"/>
        </w:rPr>
        <w:t>中华人民共和国国务院令</w:t>
      </w:r>
      <w:bookmarkEnd w:id="71"/>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楷体" w:hAnsi="楷体" w:eastAsia="楷体" w:cs="楷体"/>
          <w:i w:val="0"/>
          <w:caps w:val="0"/>
          <w:color w:val="333333"/>
          <w:spacing w:val="0"/>
          <w:sz w:val="24"/>
          <w:szCs w:val="24"/>
          <w:shd w:val="clear" w:fill="FFFFFF"/>
        </w:rPr>
      </w:pPr>
      <w:bookmarkStart w:id="72" w:name="_Toc23874"/>
      <w:r>
        <w:rPr>
          <w:rFonts w:hint="eastAsia" w:ascii="楷体" w:hAnsi="楷体" w:eastAsia="楷体" w:cs="楷体"/>
          <w:i w:val="0"/>
          <w:caps w:val="0"/>
          <w:color w:val="333333"/>
          <w:spacing w:val="0"/>
          <w:sz w:val="24"/>
          <w:szCs w:val="24"/>
          <w:shd w:val="clear" w:fill="FFFFFF"/>
        </w:rPr>
        <w:t>第722号</w:t>
      </w:r>
      <w:bookmarkEnd w:id="72"/>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《优化营商环境条例》已经2019年10月8日国务院第66次常务会议通过，现予公布，自2020年1月1日起施行。</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总　理　　李克强</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2019年10月22日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shd w:val="clear" w:fill="FFFFFF"/>
        </w:rPr>
        <w:t>优化营商环境条例</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第一章　总　　则</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第一条</w:t>
      </w:r>
      <w:r>
        <w:rPr>
          <w:rFonts w:hint="eastAsia" w:ascii="宋体" w:hAnsi="宋体" w:eastAsia="宋体" w:cs="宋体"/>
          <w:i w:val="0"/>
          <w:caps w:val="0"/>
          <w:color w:val="333333"/>
          <w:spacing w:val="0"/>
          <w:sz w:val="21"/>
          <w:szCs w:val="21"/>
          <w:shd w:val="clear" w:fill="FFFFFF"/>
        </w:rPr>
        <w:t>　为了持续优化营商环境，不断解放和发展社会生产力，加快建设现代化经济体系，推动高质量发展，制定本条例。</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第二条</w:t>
      </w:r>
      <w:r>
        <w:rPr>
          <w:rFonts w:hint="eastAsia" w:ascii="宋体" w:hAnsi="宋体" w:eastAsia="宋体" w:cs="宋体"/>
          <w:i w:val="0"/>
          <w:caps w:val="0"/>
          <w:color w:val="333333"/>
          <w:spacing w:val="0"/>
          <w:sz w:val="21"/>
          <w:szCs w:val="21"/>
          <w:shd w:val="clear" w:fill="FFFFFF"/>
        </w:rPr>
        <w:t>　本条例所称营商环境，是指企业等市场主体在市场经济活动中所涉及的体制机制性因素和条件。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第三条</w:t>
      </w:r>
      <w:r>
        <w:rPr>
          <w:rFonts w:hint="eastAsia" w:ascii="宋体" w:hAnsi="宋体" w:eastAsia="宋体" w:cs="宋体"/>
          <w:i w:val="0"/>
          <w:caps w:val="0"/>
          <w:color w:val="333333"/>
          <w:spacing w:val="0"/>
          <w:sz w:val="21"/>
          <w:szCs w:val="21"/>
          <w:shd w:val="clear" w:fill="FFFFFF"/>
        </w:rPr>
        <w:t>　国家持续深化简政放权、放管结合、优化服务改革，最大限度减少政府对市场资源的直接配置，最大限度减少政府对市场活动的直接干预，加强和规范事中事后监管，着力提升政务服务能力和水平，切实降低制度性交易成本，更大激发市场活力和社会创造力，增强发展动力。</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各级人民政府及其部门应当坚持政务公开透明，以公开为常态、不公开为例外，全面推进决策、执行、管理、服务、结果公开。</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第四条</w:t>
      </w:r>
      <w:r>
        <w:rPr>
          <w:rFonts w:hint="eastAsia" w:ascii="宋体" w:hAnsi="宋体" w:eastAsia="宋体" w:cs="宋体"/>
          <w:i w:val="0"/>
          <w:caps w:val="0"/>
          <w:color w:val="333333"/>
          <w:spacing w:val="0"/>
          <w:sz w:val="21"/>
          <w:szCs w:val="21"/>
          <w:shd w:val="clear" w:fill="FFFFFF"/>
        </w:rPr>
        <w:t>　优化营商环境应当坚持市场化、法治化、国际化原则，以市场主体需求为导向，以深刻转变政府职能为核心，创新体制机制、强化协同联动、完善法治保障，对标国际先进水平，为各类市场主体投资兴业营造稳定、公平、透明、可预期的良好环境。</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第五条</w:t>
      </w:r>
      <w:r>
        <w:rPr>
          <w:rFonts w:hint="eastAsia" w:ascii="宋体" w:hAnsi="宋体" w:eastAsia="宋体" w:cs="宋体"/>
          <w:i w:val="0"/>
          <w:caps w:val="0"/>
          <w:color w:val="333333"/>
          <w:spacing w:val="0"/>
          <w:sz w:val="21"/>
          <w:szCs w:val="21"/>
          <w:shd w:val="clear" w:fill="FFFFFF"/>
        </w:rPr>
        <w:t>　国家加快建立统一开放、竞争有序的现代市场体系，依法促进各类生产要素自由流动，保障各类市场主体公平参与市场竞争。</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第六条</w:t>
      </w:r>
      <w:r>
        <w:rPr>
          <w:rFonts w:hint="eastAsia" w:ascii="宋体" w:hAnsi="宋体" w:eastAsia="宋体" w:cs="宋体"/>
          <w:i w:val="0"/>
          <w:caps w:val="0"/>
          <w:color w:val="333333"/>
          <w:spacing w:val="0"/>
          <w:sz w:val="21"/>
          <w:szCs w:val="21"/>
          <w:shd w:val="clear" w:fill="FFFFFF"/>
        </w:rPr>
        <w:t>　国家鼓励、支持、引导非公有制经济发展，激发非公有制经济活力和创造力。</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国家进一步扩大对外开放，积极促进外商投资，平等对待内资企业、外商投资企业等各类市场主体。</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第七条</w:t>
      </w:r>
      <w:r>
        <w:rPr>
          <w:rFonts w:hint="eastAsia" w:ascii="宋体" w:hAnsi="宋体" w:eastAsia="宋体" w:cs="宋体"/>
          <w:i w:val="0"/>
          <w:caps w:val="0"/>
          <w:color w:val="333333"/>
          <w:spacing w:val="0"/>
          <w:sz w:val="21"/>
          <w:szCs w:val="21"/>
          <w:shd w:val="clear" w:fill="FFFFFF"/>
        </w:rPr>
        <w:t>　各级人民政府应当加强对优化营商环境工作的组织领导，完善优化营商环境的政策措施，建立健全统筹推进、督促落实优化营商环境工作的相关机制，及时协调、解决优化营商环境工作中的重大问题。</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县级以上人民政府有关部门应当按照职责分工，做好优化营商环境的相关工作。县级以上地方人民政府根据实际情况，可以明确优化营商环境工作的主管部门。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国家鼓励和支持各地区、各部门结合实际情况，在法治框架内积极探索原创性、差异化的优化营商环境具体措施；对探索中出现失误或者偏差，符合规定条件的，可以予以免责或者减轻责任。</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第八条</w:t>
      </w:r>
      <w:r>
        <w:rPr>
          <w:rFonts w:hint="eastAsia" w:ascii="宋体" w:hAnsi="宋体" w:eastAsia="宋体" w:cs="宋体"/>
          <w:i w:val="0"/>
          <w:caps w:val="0"/>
          <w:color w:val="333333"/>
          <w:spacing w:val="0"/>
          <w:sz w:val="21"/>
          <w:szCs w:val="21"/>
          <w:shd w:val="clear" w:fill="FFFFFF"/>
        </w:rPr>
        <w:t>　国家建立和完善以市场主体和社会公众满意度为导向的营商环境评价体系，发挥营商环境评价对优化营商环境的引领和督促作用。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开展营商环境评价，不得影响各地区、各部门正常工作，不得影响市场主体正常生产经营活动或者增加市场主体负担。</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任何单位不得利用营商环境评价谋取利益。</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第九条</w:t>
      </w:r>
      <w:r>
        <w:rPr>
          <w:rFonts w:hint="eastAsia" w:ascii="宋体" w:hAnsi="宋体" w:eastAsia="宋体" w:cs="宋体"/>
          <w:i w:val="0"/>
          <w:caps w:val="0"/>
          <w:color w:val="333333"/>
          <w:spacing w:val="0"/>
          <w:sz w:val="21"/>
          <w:szCs w:val="21"/>
          <w:shd w:val="clear" w:fill="FFFFFF"/>
        </w:rPr>
        <w:t>　市场主体应当遵守法律法规，恪守社会公德和商业道德，诚实守信、公平竞争，履行安全、质量、劳动者权益保护、消费者权益保护等方面的法定义务，在国际经贸活动中遵循国际通行规则。</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第二章　市场主体保护</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第十条</w:t>
      </w:r>
      <w:r>
        <w:rPr>
          <w:rFonts w:hint="eastAsia" w:ascii="宋体" w:hAnsi="宋体" w:eastAsia="宋体" w:cs="宋体"/>
          <w:i w:val="0"/>
          <w:caps w:val="0"/>
          <w:color w:val="333333"/>
          <w:spacing w:val="0"/>
          <w:sz w:val="21"/>
          <w:szCs w:val="21"/>
          <w:shd w:val="clear" w:fill="FFFFFF"/>
        </w:rPr>
        <w:t>　国家坚持权利平等、机会平等、规则平等，保障各种所有制经济平等受到法律保护。</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第十一条</w:t>
      </w:r>
      <w:r>
        <w:rPr>
          <w:rFonts w:hint="eastAsia" w:ascii="宋体" w:hAnsi="宋体" w:eastAsia="宋体" w:cs="宋体"/>
          <w:i w:val="0"/>
          <w:caps w:val="0"/>
          <w:color w:val="333333"/>
          <w:spacing w:val="0"/>
          <w:sz w:val="21"/>
          <w:szCs w:val="21"/>
          <w:shd w:val="clear" w:fill="FFFFFF"/>
        </w:rPr>
        <w:t>　市场主体依法享有经营自主权。对依法应当由市场主体自主决策的各类事项，任何单位和个人不得干预。</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第十二条</w:t>
      </w:r>
      <w:r>
        <w:rPr>
          <w:rFonts w:hint="eastAsia" w:ascii="宋体" w:hAnsi="宋体" w:eastAsia="宋体" w:cs="宋体"/>
          <w:i w:val="0"/>
          <w:caps w:val="0"/>
          <w:color w:val="333333"/>
          <w:spacing w:val="0"/>
          <w:sz w:val="21"/>
          <w:szCs w:val="21"/>
          <w:shd w:val="clear" w:fill="FFFFFF"/>
        </w:rPr>
        <w:t>　国家保障各类市场主体依法平等使用资金、技术、人力资源、土地使用权及其他自然资源等各类生产要素和公共服务资源。</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各类市场主体依法平等适用国家支持发展的政策。政府及其有关部门在政府资金安排、土地供应、税费减免、资质许可、标准制定、项目申报、职称评定、人力资源政策等方面，应当依法平等对待各类市场主体，不得制定或者实施歧视性政策措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第十三条</w:t>
      </w:r>
      <w:r>
        <w:rPr>
          <w:rFonts w:hint="eastAsia" w:ascii="宋体" w:hAnsi="宋体" w:eastAsia="宋体" w:cs="宋体"/>
          <w:i w:val="0"/>
          <w:caps w:val="0"/>
          <w:color w:val="333333"/>
          <w:spacing w:val="0"/>
          <w:sz w:val="21"/>
          <w:szCs w:val="21"/>
          <w:shd w:val="clear" w:fill="FFFFFF"/>
        </w:rPr>
        <w:t>　招标投标和政府采购应当公开透明、公平公正，依法平等对待各类所有制和不同地区的市场主体，不得以不合理条件或者产品产地来源等进行限制或者排斥。</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政府有关部门应当加强招标投标和政府采购监管，依法纠正和查处违法违规行为。</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第十四条</w:t>
      </w:r>
      <w:r>
        <w:rPr>
          <w:rFonts w:hint="eastAsia" w:ascii="宋体" w:hAnsi="宋体" w:eastAsia="宋体" w:cs="宋体"/>
          <w:i w:val="0"/>
          <w:caps w:val="0"/>
          <w:color w:val="333333"/>
          <w:spacing w:val="0"/>
          <w:sz w:val="21"/>
          <w:szCs w:val="21"/>
          <w:shd w:val="clear" w:fill="FFFFFF"/>
        </w:rPr>
        <w:t>　国家依法保护市场主体的财产权和其他合法权益，保护企业经营者人身和财产安全。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严禁违反法定权限、条件、程序对市场主体的财产和企业经营者个人财产实施查封、冻结和扣押等行政强制措施；依法确需实施前述行政强制措施的，应当限定在所必需的范围内。</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禁止在法律、法规规定之外要求市场主体提供财力、物力或者人力的摊派行为。市场主体有权拒绝任何形式的摊派。</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第十五条</w:t>
      </w:r>
      <w:r>
        <w:rPr>
          <w:rFonts w:hint="eastAsia" w:ascii="宋体" w:hAnsi="宋体" w:eastAsia="宋体" w:cs="宋体"/>
          <w:i w:val="0"/>
          <w:caps w:val="0"/>
          <w:color w:val="333333"/>
          <w:spacing w:val="0"/>
          <w:sz w:val="21"/>
          <w:szCs w:val="21"/>
          <w:shd w:val="clear" w:fill="FFFFFF"/>
        </w:rPr>
        <w:t>　国家建立知识产权侵权惩罚性赔偿制度，推动建立知识产权快速协同保护机制，健全知识产权纠纷多元化解决机制和知识产权维权援助机制，加大对知识产权的保护力度。</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国家持续深化商标注册、专利申请便利化改革，提高商标注册、专利申请审查效率。</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第十六条</w:t>
      </w:r>
      <w:r>
        <w:rPr>
          <w:rFonts w:hint="eastAsia" w:ascii="宋体" w:hAnsi="宋体" w:eastAsia="宋体" w:cs="宋体"/>
          <w:i w:val="0"/>
          <w:caps w:val="0"/>
          <w:color w:val="333333"/>
          <w:spacing w:val="0"/>
          <w:sz w:val="21"/>
          <w:szCs w:val="21"/>
          <w:shd w:val="clear" w:fill="FFFFFF"/>
        </w:rPr>
        <w:t>　国家加大中小投资者权益保护力度，完善中小投资者权益保护机制，保障中小投资者的知情权、参与权，提升中小投资者维护合法权益的便利度。</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第十七条</w:t>
      </w:r>
      <w:r>
        <w:rPr>
          <w:rFonts w:hint="eastAsia" w:ascii="宋体" w:hAnsi="宋体" w:eastAsia="宋体" w:cs="宋体"/>
          <w:i w:val="0"/>
          <w:caps w:val="0"/>
          <w:color w:val="333333"/>
          <w:spacing w:val="0"/>
          <w:sz w:val="21"/>
          <w:szCs w:val="21"/>
          <w:shd w:val="clear" w:fill="FFFFFF"/>
        </w:rPr>
        <w:t>　除法律、法规另有规定外，市场主体有权自主决定加入或者退出行业协会商会等社会组织，任何单位和个人不得干预。</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除法律、法规另有规定外，任何单位和个人不得强制或者变相强制市场主体参加评比、达标、表彰、培训、考核、考试以及类似活动，不得借前述活动向市场主体收费或者变相收费。</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第十八条</w:t>
      </w:r>
      <w:r>
        <w:rPr>
          <w:rFonts w:hint="eastAsia" w:ascii="宋体" w:hAnsi="宋体" w:eastAsia="宋体" w:cs="宋体"/>
          <w:i w:val="0"/>
          <w:caps w:val="0"/>
          <w:color w:val="333333"/>
          <w:spacing w:val="0"/>
          <w:sz w:val="21"/>
          <w:szCs w:val="21"/>
          <w:shd w:val="clear" w:fill="FFFFFF"/>
        </w:rPr>
        <w:t>　国家推动建立全国统一的市场主体维权服务平台，为市场主体提供高效、便捷的维权服务。</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第三章　市场环境</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第十九条</w:t>
      </w:r>
      <w:r>
        <w:rPr>
          <w:rFonts w:hint="eastAsia" w:ascii="宋体" w:hAnsi="宋体" w:eastAsia="宋体" w:cs="宋体"/>
          <w:i w:val="0"/>
          <w:caps w:val="0"/>
          <w:color w:val="333333"/>
          <w:spacing w:val="0"/>
          <w:sz w:val="21"/>
          <w:szCs w:val="21"/>
          <w:shd w:val="clear" w:fill="FFFFFF"/>
        </w:rPr>
        <w:t>　国家持续深化商事制度改革，统一企业登记业务规范，统一数据标准和平台服务接口，采用统一社会信用代码进行登记管理。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国家推进“证照分离”改革，持续精简涉企经营许可事项，依法采取直接取消审批、审批改为备案、实行告知承诺、优化审批服务等方式，对所有涉企经营许可事项进行分类管理，为企业取得营业执照后开展相关经营活动提供便利。除法律、行政法规规定的特定领域外，涉企经营许可事项不得作为企业登记的前置条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政府有关部门应当按照国家有关规定，简化企业从申请设立到具备一般性经营条件所需办理的手续。在国家规定的企业开办时限内，各地区应当确定并公开具体办理时间。</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企业申请办理住所等相关变更登记的，有关部门应当依法及时办理，不得限制。除法律、法规、规章另有规定外，企业迁移后其持有的有效许可证件不再重复办理。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第二十条</w:t>
      </w:r>
      <w:r>
        <w:rPr>
          <w:rFonts w:hint="eastAsia" w:ascii="宋体" w:hAnsi="宋体" w:eastAsia="宋体" w:cs="宋体"/>
          <w:i w:val="0"/>
          <w:caps w:val="0"/>
          <w:color w:val="333333"/>
          <w:spacing w:val="0"/>
          <w:sz w:val="21"/>
          <w:szCs w:val="21"/>
          <w:shd w:val="clear" w:fill="FFFFFF"/>
        </w:rPr>
        <w:t>　国家持续放宽市场准入，并实行全国统一的市场准入负面清单制度。市场准入负面清单以外的领域，各类市场主体均可以依法平等进入。</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各地区、各部门不得另行制定市场准入性质的负面清单。</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第二十一条</w:t>
      </w:r>
      <w:r>
        <w:rPr>
          <w:rFonts w:hint="eastAsia" w:ascii="宋体" w:hAnsi="宋体" w:eastAsia="宋体" w:cs="宋体"/>
          <w:i w:val="0"/>
          <w:caps w:val="0"/>
          <w:color w:val="333333"/>
          <w:spacing w:val="0"/>
          <w:sz w:val="21"/>
          <w:szCs w:val="21"/>
          <w:shd w:val="clear" w:fill="FFFFFF"/>
        </w:rPr>
        <w:t>　政府有关部门应当加大反垄断和反不正当竞争执法力度，有效预防和制止市场经济活动中的垄断行为、不正当竞争行为以及滥用行政权力排除、限制竞争的行为，营造公平竞争的市场环境。</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第二十二条</w:t>
      </w:r>
      <w:r>
        <w:rPr>
          <w:rFonts w:hint="eastAsia" w:ascii="宋体" w:hAnsi="宋体" w:eastAsia="宋体" w:cs="宋体"/>
          <w:i w:val="0"/>
          <w:caps w:val="0"/>
          <w:color w:val="333333"/>
          <w:spacing w:val="0"/>
          <w:sz w:val="21"/>
          <w:szCs w:val="21"/>
          <w:shd w:val="clear" w:fill="FFFFFF"/>
        </w:rPr>
        <w:t>　国家建立健全统一开放、竞争有序的人力资源市场体系，打破城乡、地区、行业分割和身份、性别等歧视，促进人力资源有序社会性流动和合理配置。</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第二十三条</w:t>
      </w:r>
      <w:r>
        <w:rPr>
          <w:rFonts w:hint="eastAsia" w:ascii="宋体" w:hAnsi="宋体" w:eastAsia="宋体" w:cs="宋体"/>
          <w:i w:val="0"/>
          <w:caps w:val="0"/>
          <w:color w:val="333333"/>
          <w:spacing w:val="0"/>
          <w:sz w:val="21"/>
          <w:szCs w:val="21"/>
          <w:shd w:val="clear" w:fill="FFFFFF"/>
        </w:rPr>
        <w:t>　政府及其有关部门应当完善政策措施、强化创新服务，鼓励和支持市场主体拓展创新空间，持续推进产品、技术、商业模式、管理等创新，充分发挥市场主体在推动科技成果转化中的作用。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第二十四条</w:t>
      </w:r>
      <w:r>
        <w:rPr>
          <w:rFonts w:hint="eastAsia" w:ascii="宋体" w:hAnsi="宋体" w:eastAsia="宋体" w:cs="宋体"/>
          <w:i w:val="0"/>
          <w:caps w:val="0"/>
          <w:color w:val="333333"/>
          <w:spacing w:val="0"/>
          <w:sz w:val="21"/>
          <w:szCs w:val="21"/>
          <w:shd w:val="clear" w:fill="FFFFFF"/>
        </w:rPr>
        <w:t>　政府及其有关部门应当严格落实国家各项减税降费政策，及时研究解决政策落实中的具体问题，确保减税降费政策全面、及时惠及市场主体。</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第二十五条</w:t>
      </w:r>
      <w:r>
        <w:rPr>
          <w:rFonts w:hint="eastAsia" w:ascii="宋体" w:hAnsi="宋体" w:eastAsia="宋体" w:cs="宋体"/>
          <w:i w:val="0"/>
          <w:caps w:val="0"/>
          <w:color w:val="333333"/>
          <w:spacing w:val="0"/>
          <w:sz w:val="21"/>
          <w:szCs w:val="21"/>
          <w:shd w:val="clear" w:fill="FFFFFF"/>
        </w:rPr>
        <w:t>　设立政府性基金、涉企行政事业性收费、涉企保证金，应当有法律、行政法规依据或者经国务院批准。对政府性基金、涉企行政事业性收费、涉企保证金以及实行政府定价的经营服务性收费，实行目录清单管理并向社会公开，目录清单之外的前述收费和保证金一律不得执行。推广以金融机构保函替代现金缴纳涉企保证金。</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第二十六条</w:t>
      </w:r>
      <w:r>
        <w:rPr>
          <w:rFonts w:hint="eastAsia" w:ascii="宋体" w:hAnsi="宋体" w:eastAsia="宋体" w:cs="宋体"/>
          <w:i w:val="0"/>
          <w:caps w:val="0"/>
          <w:color w:val="333333"/>
          <w:spacing w:val="0"/>
          <w:sz w:val="21"/>
          <w:szCs w:val="21"/>
          <w:shd w:val="clear" w:fill="FFFFFF"/>
        </w:rPr>
        <w:t>　国家鼓励和支持金融机构加大对民营企业、中小企业的支持力度，降低民营企业、中小企业综合融资成本。</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金融监督管理部门应当完善对商业银行等金融机构的监管考核和激励机制，鼓励、引导其增加对民营企业、中小企业的信贷投放，并合理增加中长期贷款和信用贷款支持，提高贷款审批效率。</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商业银行等金融机构在授信中不得设置不合理条件，不得对民营企业、中小企业设置歧视性要求。商业银行等金融机构应当按照国家有关规定规范收费行为，不得违规向服务对象收取不合理费用。商业银行应当向社会公开开设企业账户的服务标准、资费标准和办理时限。</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第二十七条</w:t>
      </w:r>
      <w:r>
        <w:rPr>
          <w:rFonts w:hint="eastAsia" w:ascii="宋体" w:hAnsi="宋体" w:eastAsia="宋体" w:cs="宋体"/>
          <w:i w:val="0"/>
          <w:caps w:val="0"/>
          <w:color w:val="333333"/>
          <w:spacing w:val="0"/>
          <w:sz w:val="21"/>
          <w:szCs w:val="21"/>
          <w:shd w:val="clear" w:fill="FFFFFF"/>
        </w:rPr>
        <w:t>　国家促进多层次资本市场规范健康发展，拓宽市场主体融资渠道，支持符合条件的民营企业、中小企业依法发行股票、债券以及其他融资工具，扩大直接融资规模。</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第二十八条</w:t>
      </w:r>
      <w:r>
        <w:rPr>
          <w:rFonts w:hint="eastAsia" w:ascii="宋体" w:hAnsi="宋体" w:eastAsia="宋体" w:cs="宋体"/>
          <w:i w:val="0"/>
          <w:caps w:val="0"/>
          <w:color w:val="333333"/>
          <w:spacing w:val="0"/>
          <w:sz w:val="21"/>
          <w:szCs w:val="21"/>
          <w:shd w:val="clear" w:fill="FFFFFF"/>
        </w:rPr>
        <w:t>　供水、供电、供气、供热等公用企事业单位应当向社会公开服务标准、资费标准等信息，为市场主体提供安全、便捷、稳定和价格合理的服务，不得强迫市场主体接受不合理的服务条件，不得以任何名义收取不合理费用。各地区应当优化报装流程，在国家规定的报装办理时限内确定并公开具体办理时间。</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政府有关部门应当加强对公用企事业单位运营的监督管理。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第二十九条</w:t>
      </w:r>
      <w:r>
        <w:rPr>
          <w:rFonts w:hint="eastAsia" w:ascii="宋体" w:hAnsi="宋体" w:eastAsia="宋体" w:cs="宋体"/>
          <w:i w:val="0"/>
          <w:caps w:val="0"/>
          <w:color w:val="333333"/>
          <w:spacing w:val="0"/>
          <w:sz w:val="21"/>
          <w:szCs w:val="21"/>
          <w:shd w:val="clear" w:fill="FFFFFF"/>
        </w:rPr>
        <w:t>　行业协会商会应当依照法律、法规和章程，加强行业自律，及时反映行业诉求，为市场主体提供信息咨询、宣传培训、市场拓展、权益保护、纠纷处理等方面的服务。</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国家依法严格规范行业协会商会的收费、评比、认证等行为。</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第三十条</w:t>
      </w:r>
      <w:r>
        <w:rPr>
          <w:rFonts w:hint="eastAsia" w:ascii="宋体" w:hAnsi="宋体" w:eastAsia="宋体" w:cs="宋体"/>
          <w:i w:val="0"/>
          <w:caps w:val="0"/>
          <w:color w:val="333333"/>
          <w:spacing w:val="0"/>
          <w:sz w:val="21"/>
          <w:szCs w:val="21"/>
          <w:shd w:val="clear" w:fill="FFFFFF"/>
        </w:rPr>
        <w:t>　国家加强社会信用体系建设，持续推进政务诚信、商务诚信、社会诚信和司法公信建设，提高全社会诚信意识和信用水平，维护信用信息安全，严格保护商业秘密和个人隐私。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第三十一条</w:t>
      </w:r>
      <w:r>
        <w:rPr>
          <w:rFonts w:hint="eastAsia" w:ascii="宋体" w:hAnsi="宋体" w:eastAsia="宋体" w:cs="宋体"/>
          <w:i w:val="0"/>
          <w:caps w:val="0"/>
          <w:color w:val="333333"/>
          <w:spacing w:val="0"/>
          <w:sz w:val="21"/>
          <w:szCs w:val="21"/>
          <w:shd w:val="clear" w:fill="FFFFFF"/>
        </w:rPr>
        <w:t>　地方各级人民政府及其有关部门应当履行向市场主体依法作出的政策承诺以及依法订立的各类合同，不得以行政区划调整、政府换届、机构或者职能调整以及相关责任人更替等为由违约毁约。因国家利益、社会公共利益需要改变政策承诺、合同约定的，应当依照法定权限和程序进行，并依法对市场主体因此受到的损失予以补偿。</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第三十二条</w:t>
      </w:r>
      <w:r>
        <w:rPr>
          <w:rFonts w:hint="eastAsia" w:ascii="宋体" w:hAnsi="宋体" w:eastAsia="宋体" w:cs="宋体"/>
          <w:i w:val="0"/>
          <w:caps w:val="0"/>
          <w:color w:val="333333"/>
          <w:spacing w:val="0"/>
          <w:sz w:val="21"/>
          <w:szCs w:val="21"/>
          <w:shd w:val="clear" w:fill="FFFFFF"/>
        </w:rPr>
        <w:t>　国家机关、事业单位不得违约拖欠市场主体的货物、工程、服务等账款，大型企业不得利用优势地位拖欠中小企业账款。</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县级以上人民政府及其有关部门应当加大对国家机关、事业单位拖欠市场主体账款的清理力度，并通过加强预算管理、严格责任追究等措施，建立防范和治理国家机关、事业单位拖欠市场主体账款的长效机制。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第三十三条</w:t>
      </w:r>
      <w:r>
        <w:rPr>
          <w:rFonts w:hint="eastAsia" w:ascii="宋体" w:hAnsi="宋体" w:eastAsia="宋体" w:cs="宋体"/>
          <w:i w:val="0"/>
          <w:caps w:val="0"/>
          <w:color w:val="333333"/>
          <w:spacing w:val="0"/>
          <w:sz w:val="21"/>
          <w:szCs w:val="21"/>
          <w:shd w:val="clear" w:fill="FFFFFF"/>
        </w:rPr>
        <w:t>　政府有关部门应当优化市场主体注销办理流程，精简申请材料、压缩办理时间、降低注销成本。对设立后未开展生产经营活动或者无债权债务的市场主体，可以按照简易程序办理注销。对有债权债务的市场主体，在债权债务依法解决后及时办理注销。</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县级以上地方人民政府应当根据需要建立企业破产工作协调机制，协调解决企业破产过程中涉及的有关问题。</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第四章　政务服务</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第三十四条</w:t>
      </w:r>
      <w:r>
        <w:rPr>
          <w:rFonts w:hint="eastAsia" w:ascii="宋体" w:hAnsi="宋体" w:eastAsia="宋体" w:cs="宋体"/>
          <w:i w:val="0"/>
          <w:caps w:val="0"/>
          <w:color w:val="333333"/>
          <w:spacing w:val="0"/>
          <w:sz w:val="21"/>
          <w:szCs w:val="21"/>
          <w:shd w:val="clear" w:fill="FFFFFF"/>
        </w:rPr>
        <w:t>　政府及其有关部门应当进一步增强服务意识，切实转变工作作风，为市场主体提供规范、便利、高效的政务服务。</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第三十五条</w:t>
      </w:r>
      <w:r>
        <w:rPr>
          <w:rFonts w:hint="eastAsia" w:ascii="宋体" w:hAnsi="宋体" w:eastAsia="宋体" w:cs="宋体"/>
          <w:i w:val="0"/>
          <w:caps w:val="0"/>
          <w:color w:val="333333"/>
          <w:spacing w:val="0"/>
          <w:sz w:val="21"/>
          <w:szCs w:val="21"/>
          <w:shd w:val="clear" w:fill="FFFFFF"/>
        </w:rPr>
        <w:t>　政府及其有关部门应当推进政务服务标准化，按照减环节、减材料、减时限的要求，编制并向社会公开政务服务事项（包括行政权力事项和公共服务事项，下同）标准化工作流程和办事指南，细化量化政务服务标准，压缩自由裁量权，推进同一事项实行无差别受理、同标准办理。没有法律、法规、规章依据，不得增设政务服务事项的办理条件和环节。</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第三十六条</w:t>
      </w:r>
      <w:r>
        <w:rPr>
          <w:rFonts w:hint="eastAsia" w:ascii="宋体" w:hAnsi="宋体" w:eastAsia="宋体" w:cs="宋体"/>
          <w:i w:val="0"/>
          <w:caps w:val="0"/>
          <w:color w:val="333333"/>
          <w:spacing w:val="0"/>
          <w:sz w:val="21"/>
          <w:szCs w:val="21"/>
          <w:shd w:val="clear" w:fill="FFFFFF"/>
        </w:rPr>
        <w:t>　政府及其有关部门办理政务服务事项，应当根据实际情况，推行当场办结、一次办结、限时办结等制度，实现集中办理、就近办理、网上办理、异地可办。需要市场主体补正有关材料、手续的，应当一次性告知需要补正的内容；需要进行现场踏勘、现场核查、技术审查、听证论证的，应当及时安排、限时办结。</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法律、法规、规章以及国家有关规定对政务服务事项办理时限有规定的，应当在规定的时限内尽快办结；没有规定的，应当按照合理、高效的原则确定办理时限并按时办结。各地区可以在国家规定的政务服务事项办理时限内进一步压减时间，并应当向社会公开；超过办理时间的，办理单位应当公开说明理由。</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地方各级人民政府已设立政务服务大厅的，本行政区域内各类政务服务事项一般应当进驻政务服务大厅统一办理。对政务服务大厅中部门分设的服务窗口，应当创造条件整合为综合窗口，提供一站式服务。</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第三十七条</w:t>
      </w:r>
      <w:r>
        <w:rPr>
          <w:rFonts w:hint="eastAsia" w:ascii="宋体" w:hAnsi="宋体" w:eastAsia="宋体" w:cs="宋体"/>
          <w:i w:val="0"/>
          <w:caps w:val="0"/>
          <w:color w:val="333333"/>
          <w:spacing w:val="0"/>
          <w:sz w:val="21"/>
          <w:szCs w:val="21"/>
          <w:shd w:val="clear" w:fill="FFFFFF"/>
        </w:rPr>
        <w:t>　国家加快建设全国一体化在线政务服务平台（以下称一体化在线平台），推动政务服务事项在全国范围内实现“一网通办”。除法律、法规另有规定或者涉及国家秘密等情形外，政务服务事项应当按照国务院确定的步骤，纳入一体化在线平台办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国家依托一体化在线平台，推动政务信息系统整合，优化政务流程，促进政务服务跨地区、跨部门、跨层级数据共享和业务协同。政府及其有关部门应当按照国家有关规定，提供数据共享服务，及时将有关政务服务数据上传至一体化在线平台，加强共享数据使用全过程管理，确保共享数据安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国家建立电子证照共享服务系统，实现电子证照跨地区、跨部门共享和全国范围内互信互认。各地区、各部门应当加强电子证照的推广应用。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各地区、各部门应当推动政务服务大厅与政务服务平台全面对接融合。市场主体有权自主选择政务服务办理渠道，行政机关不得限定办理渠道。</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第三十八条</w:t>
      </w:r>
      <w:r>
        <w:rPr>
          <w:rFonts w:hint="eastAsia" w:ascii="宋体" w:hAnsi="宋体" w:eastAsia="宋体" w:cs="宋体"/>
          <w:i w:val="0"/>
          <w:caps w:val="0"/>
          <w:color w:val="333333"/>
          <w:spacing w:val="0"/>
          <w:sz w:val="21"/>
          <w:szCs w:val="21"/>
          <w:shd w:val="clear" w:fill="FFFFFF"/>
        </w:rPr>
        <w:t>　政府及其有关部门应当通过政府网站、一体化在线平台，集中公布涉及市场主体的法律、法规、规章、行政规范性文件和各类政策措施，并通过多种途径和方式加强宣传解读。</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第三十九条</w:t>
      </w:r>
      <w:r>
        <w:rPr>
          <w:rFonts w:hint="eastAsia" w:ascii="宋体" w:hAnsi="宋体" w:eastAsia="宋体" w:cs="宋体"/>
          <w:i w:val="0"/>
          <w:caps w:val="0"/>
          <w:color w:val="333333"/>
          <w:spacing w:val="0"/>
          <w:sz w:val="21"/>
          <w:szCs w:val="21"/>
          <w:shd w:val="clear" w:fill="FFFFFF"/>
        </w:rPr>
        <w:t>　国家严格控制新设行政许可。新设行政许可应当按照行政许可法和国务院的规定严格设定标准，并进行合法性、必要性和合理性审查论证。对通过事中事后监管或者市场机制能够解决以及行政许可法和国务院规定不得设立行政许可的事项，一律不得设立行政许可，严禁以备案、登记、注册、目录、规划、年检、年报、监制、认定、认证、审定以及其他任何形式变相设定或者实施行政许可。</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法律、行政法规和国务院决定对相关管理事项已作出规定，但未采取行政许可管理方式的，地方不得就该事项设定行政许可。对相关管理事项尚未制定法律、行政法规的，地方可以依法就该事项设定行政许可。</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第四十条</w:t>
      </w:r>
      <w:r>
        <w:rPr>
          <w:rFonts w:hint="eastAsia" w:ascii="宋体" w:hAnsi="宋体" w:eastAsia="宋体" w:cs="宋体"/>
          <w:i w:val="0"/>
          <w:caps w:val="0"/>
          <w:color w:val="333333"/>
          <w:spacing w:val="0"/>
          <w:sz w:val="21"/>
          <w:szCs w:val="21"/>
          <w:shd w:val="clear" w:fill="FFFFFF"/>
        </w:rPr>
        <w:t>　国家实行行政许可清单管理制度，适时调整行政许可清单并向社会公布，清单之外不得违法实施行政许可。</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国家大力精简已有行政许可。对已取消的行政许可，行政机关不得继续实施或者变相实施，不得转由行业协会商会或者其他组织实施。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对实行行政许可管理的事项，行政机关应当通过整合实施、下放审批层级等多种方式，优化审批服务，提高审批效率，减轻市场主体负担。符合相关条件和要求的，可以按照有关规定采取告知承诺的方式办理。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第四十一条</w:t>
      </w:r>
      <w:r>
        <w:rPr>
          <w:rFonts w:hint="eastAsia" w:ascii="宋体" w:hAnsi="宋体" w:eastAsia="宋体" w:cs="宋体"/>
          <w:i w:val="0"/>
          <w:caps w:val="0"/>
          <w:color w:val="333333"/>
          <w:spacing w:val="0"/>
          <w:sz w:val="21"/>
          <w:szCs w:val="21"/>
          <w:shd w:val="clear" w:fill="FFFFFF"/>
        </w:rPr>
        <w:t>　县级以上地方人民政府应当深化投资审批制度改革，根据项目性质、投资规模等分类规范投资审批程序，精简审批要件，简化技术审查事项，强化项目决策与用地、规划等建设条件落实的协同，实行与相关审批在线并联办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第四十二条</w:t>
      </w:r>
      <w:r>
        <w:rPr>
          <w:rFonts w:hint="eastAsia" w:ascii="宋体" w:hAnsi="宋体" w:eastAsia="宋体" w:cs="宋体"/>
          <w:i w:val="0"/>
          <w:caps w:val="0"/>
          <w:color w:val="333333"/>
          <w:spacing w:val="0"/>
          <w:sz w:val="21"/>
          <w:szCs w:val="21"/>
          <w:shd w:val="clear" w:fill="FFFFFF"/>
        </w:rPr>
        <w:t>　设区的市级以上地方人民政府应当按照国家有关规定，优化工程建设项目（不包括特殊工程和交通、水利、能源等领域的重大工程）审批流程，推行并联审批、多图联审、联合竣工验收等方式，简化审批手续，提高审批效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在依法设立的开发区、新区和其他有条件的区域，按照国家有关规定推行区域评估，由设区的市级以上地方人民政府组织对一定区域内压覆重要矿产资源、地质灾害危险性等事项进行统一评估，不再对区域内的市场主体单独提出评估要求。区域评估的费用不得由市场主体承担。</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第四十三条</w:t>
      </w:r>
      <w:r>
        <w:rPr>
          <w:rFonts w:hint="eastAsia" w:ascii="宋体" w:hAnsi="宋体" w:eastAsia="宋体" w:cs="宋体"/>
          <w:i w:val="0"/>
          <w:caps w:val="0"/>
          <w:color w:val="333333"/>
          <w:spacing w:val="0"/>
          <w:sz w:val="21"/>
          <w:szCs w:val="21"/>
          <w:shd w:val="clear" w:fill="FFFFFF"/>
        </w:rPr>
        <w:t>　作为办理行政审批条件的中介服务事项（以下称法定行政审批中介服务）应当有法律、法规或者国务院决定依据；没有依据的，不得作为办理行政审批的条件。中介服务机构应当明确办理法定行政审批中介服务的条件、流程、时限、收费标准，并向社会公开。</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国家加快推进中介服务机构与行政机关脱钩。行政机关不得为市场主体指定或者变相指定中介服务机构；除法定行政审批中介服务外，不得强制或者变相强制市场主体接受中介服务。行政机关所属事业单位、主管的社会组织及其举办的企业不得开展与本机关所负责行政审批相关的中介服务，法律、行政法规另有规定的除外。</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行政机关在行政审批过程中需要委托中介服务机构开展技术性服务的，应当通过竞争性方式选择中介服务机构，并自行承担服务费用，不得转嫁给市场主体承担。</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第四十四条</w:t>
      </w:r>
      <w:r>
        <w:rPr>
          <w:rFonts w:hint="eastAsia" w:ascii="宋体" w:hAnsi="宋体" w:eastAsia="宋体" w:cs="宋体"/>
          <w:i w:val="0"/>
          <w:caps w:val="0"/>
          <w:color w:val="333333"/>
          <w:spacing w:val="0"/>
          <w:sz w:val="21"/>
          <w:szCs w:val="21"/>
          <w:shd w:val="clear" w:fill="FFFFFF"/>
        </w:rPr>
        <w:t>　证明事项应当有法律、法规或者国务院决定依据。</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设定证明事项，应当坚持确有必要、从严控制的原则。对通过法定证照、法定文书、书面告知承诺、政府部门内部核查和部门间核查、网络核验、合同凭证等能够办理，能够被其他材料涵盖或者替代，以及开具单位无法调查核实的，不得设定证明事项。</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政府有关部门应当公布证明事项清单，逐项列明设定依据、索要单位、开具单位、办理指南等。清单之外，政府部门、公用企事业单位和服务机构不得索要证明。各地区、各部门之间应当加强证明的互认共享，避免重复索要证明。</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第四十五条</w:t>
      </w:r>
      <w:r>
        <w:rPr>
          <w:rFonts w:hint="eastAsia" w:ascii="宋体" w:hAnsi="宋体" w:eastAsia="宋体" w:cs="宋体"/>
          <w:i w:val="0"/>
          <w:caps w:val="0"/>
          <w:color w:val="333333"/>
          <w:spacing w:val="0"/>
          <w:sz w:val="21"/>
          <w:szCs w:val="21"/>
          <w:shd w:val="clear" w:fill="FFFFFF"/>
        </w:rPr>
        <w:t>　政府及其有关部门应当按照国家促进跨境贸易便利化的有关要求，依法削减进出口环节审批事项，取消不必要的监管要求，优化简化通关流程，提高通关效率，清理规范口岸收费，降低通关成本，推动口岸和国际贸易领域相关业务统一通过国际贸易“单一窗口”办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第四十六条</w:t>
      </w:r>
      <w:r>
        <w:rPr>
          <w:rFonts w:hint="eastAsia" w:ascii="宋体" w:hAnsi="宋体" w:eastAsia="宋体" w:cs="宋体"/>
          <w:i w:val="0"/>
          <w:caps w:val="0"/>
          <w:color w:val="333333"/>
          <w:spacing w:val="0"/>
          <w:sz w:val="21"/>
          <w:szCs w:val="21"/>
          <w:shd w:val="clear" w:fill="FFFFFF"/>
        </w:rPr>
        <w:t>　税务机关应当精简办税资料和流程，简并申报缴税次数，公开涉税事项办理时限，压减办税时间，加大推广使用电子发票的力度，逐步实现全程网上办税，持续优化纳税服务。</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第四十七条</w:t>
      </w:r>
      <w:r>
        <w:rPr>
          <w:rFonts w:hint="eastAsia" w:ascii="宋体" w:hAnsi="宋体" w:eastAsia="宋体" w:cs="宋体"/>
          <w:i w:val="0"/>
          <w:caps w:val="0"/>
          <w:color w:val="333333"/>
          <w:spacing w:val="0"/>
          <w:sz w:val="21"/>
          <w:szCs w:val="21"/>
          <w:shd w:val="clear" w:fill="FFFFFF"/>
        </w:rPr>
        <w:t>　不动产登记机构应当按照国家有关规定，加强部门协作，实行不动产登记、交易和缴税一窗受理、并行办理，压缩办理时间，降低办理成本。在国家规定的不动产登记时限内，各地区应当确定并公开具体办理时间。</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国家推动建立统一的动产和权利担保登记公示系统，逐步实现市场主体在一个平台上办理动产和权利担保登记。纳入统一登记公示系统的动产和权利范围另行规定。</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第四十八条</w:t>
      </w:r>
      <w:r>
        <w:rPr>
          <w:rFonts w:hint="eastAsia" w:ascii="宋体" w:hAnsi="宋体" w:eastAsia="宋体" w:cs="宋体"/>
          <w:i w:val="0"/>
          <w:caps w:val="0"/>
          <w:color w:val="333333"/>
          <w:spacing w:val="0"/>
          <w:sz w:val="21"/>
          <w:szCs w:val="21"/>
          <w:shd w:val="clear" w:fill="FFFFFF"/>
        </w:rPr>
        <w:t>　政府及其有关部门应当按照构建亲清新型政商关系的要求，建立畅通有效的政企沟通机制，采取多种方式及时听取市场主体的反映和诉求，了解市场主体生产经营中遇到的困难和问题，并依法帮助其解决。</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建立政企沟通机制，应当充分尊重市场主体意愿，增强针对性和有效性，不得干扰市场主体正常生产经营活动，不得增加市场主体负担。</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第四十九条</w:t>
      </w:r>
      <w:r>
        <w:rPr>
          <w:rFonts w:hint="eastAsia" w:ascii="宋体" w:hAnsi="宋体" w:eastAsia="宋体" w:cs="宋体"/>
          <w:i w:val="0"/>
          <w:caps w:val="0"/>
          <w:color w:val="333333"/>
          <w:spacing w:val="0"/>
          <w:sz w:val="21"/>
          <w:szCs w:val="21"/>
          <w:shd w:val="clear" w:fill="FFFFFF"/>
        </w:rPr>
        <w:t>　政府及其有关部门应当建立便利、畅通的渠道，受理有关营商环境的投诉和举报。</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第五十条</w:t>
      </w:r>
      <w:r>
        <w:rPr>
          <w:rFonts w:hint="eastAsia" w:ascii="宋体" w:hAnsi="宋体" w:eastAsia="宋体" w:cs="宋体"/>
          <w:i w:val="0"/>
          <w:caps w:val="0"/>
          <w:color w:val="333333"/>
          <w:spacing w:val="0"/>
          <w:sz w:val="21"/>
          <w:szCs w:val="21"/>
          <w:shd w:val="clear" w:fill="FFFFFF"/>
        </w:rPr>
        <w:t>　新闻媒体应当及时、准确宣传优化营商环境的措施和成效，为优化营商环境创造良好舆论氛围。</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国家鼓励对营商环境进行舆论监督，但禁止捏造虚假信息或者歪曲事实进行不实报道。</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第五章　监管执法</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第五十一条</w:t>
      </w:r>
      <w:r>
        <w:rPr>
          <w:rFonts w:hint="eastAsia" w:ascii="宋体" w:hAnsi="宋体" w:eastAsia="宋体" w:cs="宋体"/>
          <w:i w:val="0"/>
          <w:caps w:val="0"/>
          <w:color w:val="333333"/>
          <w:spacing w:val="0"/>
          <w:sz w:val="21"/>
          <w:szCs w:val="21"/>
          <w:shd w:val="clear" w:fill="FFFFFF"/>
        </w:rPr>
        <w:t>　政府有关部门应当严格按照法律法规和职责，落实监管责任，明确监管对象和范围、厘清监管事权，依法对市场主体进行监管，实现监管全覆盖。</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第五十二条</w:t>
      </w:r>
      <w:r>
        <w:rPr>
          <w:rFonts w:hint="eastAsia" w:ascii="宋体" w:hAnsi="宋体" w:eastAsia="宋体" w:cs="宋体"/>
          <w:i w:val="0"/>
          <w:caps w:val="0"/>
          <w:color w:val="333333"/>
          <w:spacing w:val="0"/>
          <w:sz w:val="21"/>
          <w:szCs w:val="21"/>
          <w:shd w:val="clear" w:fill="FFFFFF"/>
        </w:rPr>
        <w:t>　国家健全公开透明的监管规则和标准体系。国务院有关部门应当分领域制定全国统一、简明易行的监管规则和标准，并向社会公开。</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第五十三条</w:t>
      </w:r>
      <w:r>
        <w:rPr>
          <w:rFonts w:hint="eastAsia" w:ascii="宋体" w:hAnsi="宋体" w:eastAsia="宋体" w:cs="宋体"/>
          <w:i w:val="0"/>
          <w:caps w:val="0"/>
          <w:color w:val="333333"/>
          <w:spacing w:val="0"/>
          <w:sz w:val="21"/>
          <w:szCs w:val="21"/>
          <w:shd w:val="clear" w:fill="FFFFFF"/>
        </w:rPr>
        <w:t>　政府及其有关部门应当按照国家关于加快构建以信用为基础的新型监管机制的要求，创新和完善信用监管，强化信用监管的支撑保障，加强信用监管的组织实施，不断提升信用监管效能。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第五十四条</w:t>
      </w:r>
      <w:r>
        <w:rPr>
          <w:rFonts w:hint="eastAsia" w:ascii="宋体" w:hAnsi="宋体" w:eastAsia="宋体" w:cs="宋体"/>
          <w:i w:val="0"/>
          <w:caps w:val="0"/>
          <w:color w:val="333333"/>
          <w:spacing w:val="0"/>
          <w:sz w:val="21"/>
          <w:szCs w:val="21"/>
          <w:shd w:val="clear" w:fill="FFFFFF"/>
        </w:rPr>
        <w:t>　国家推行“双随机、一公开”监管，除直接涉及公共安全和人民群众生命健康等特殊行业、重点领域外，市场监管领域的行政检查应当通过随机抽取检查对象、随机选派执法检查人员、抽查事项及查处结果及时向社会公开的方式进行。针对同一检查对象的多个检查事项，应当尽可能合并或者纳入跨部门联合抽查范围。</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对直接涉及公共安全和人民群众生命健康等特殊行业、重点领域，依法依规实行全覆盖的重点监管，并严格规范重点监管的程序；对通过投诉举报、转办交办、数据监测等发现的问题，应当有针对性地进行检查并依法依规处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第五十五条</w:t>
      </w:r>
      <w:r>
        <w:rPr>
          <w:rFonts w:hint="eastAsia" w:ascii="宋体" w:hAnsi="宋体" w:eastAsia="宋体" w:cs="宋体"/>
          <w:i w:val="0"/>
          <w:caps w:val="0"/>
          <w:color w:val="333333"/>
          <w:spacing w:val="0"/>
          <w:sz w:val="21"/>
          <w:szCs w:val="21"/>
          <w:shd w:val="clear" w:fill="FFFFFF"/>
        </w:rPr>
        <w:t>　政府及其有关部门应当按照鼓励创新的原则，对新技术、新产业、新业态、新模式等实行包容审慎监管，针对其性质、特点分类制定和实行相应的监管规则和标准，留足发展空间，同时确保质量和安全，不得简单化予以禁止或者不予监管。</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第五十六条</w:t>
      </w:r>
      <w:r>
        <w:rPr>
          <w:rFonts w:hint="eastAsia" w:ascii="宋体" w:hAnsi="宋体" w:eastAsia="宋体" w:cs="宋体"/>
          <w:i w:val="0"/>
          <w:caps w:val="0"/>
          <w:color w:val="333333"/>
          <w:spacing w:val="0"/>
          <w:sz w:val="21"/>
          <w:szCs w:val="21"/>
          <w:shd w:val="clear" w:fill="FFFFFF"/>
        </w:rPr>
        <w:t>　政府及其有关部门应当充分运用互联网、大数据等技术手段，依托国家统一建立的在线监管系统，加强监管信息归集共享和关联整合，推行以远程监管、移动监管、预警防控为特征的非现场监管，提升监管的精准化、智能化水平。</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第五十七条</w:t>
      </w:r>
      <w:r>
        <w:rPr>
          <w:rFonts w:hint="eastAsia" w:ascii="宋体" w:hAnsi="宋体" w:eastAsia="宋体" w:cs="宋体"/>
          <w:i w:val="0"/>
          <w:caps w:val="0"/>
          <w:color w:val="333333"/>
          <w:spacing w:val="0"/>
          <w:sz w:val="21"/>
          <w:szCs w:val="21"/>
          <w:shd w:val="clear" w:fill="FFFFFF"/>
        </w:rPr>
        <w:t>　国家建立健全跨部门、跨区域行政执法联动响应和协作机制，实现违法线索互联、监管标准互通、处理结果互认。</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国家统筹配置行政执法职能和执法资源，在相关领域推行综合行政执法，整合精简执法队伍，减少执法主体和执法层级，提高基层执法能力。</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第五十八条</w:t>
      </w:r>
      <w:r>
        <w:rPr>
          <w:rFonts w:hint="eastAsia" w:ascii="宋体" w:hAnsi="宋体" w:eastAsia="宋体" w:cs="宋体"/>
          <w:i w:val="0"/>
          <w:caps w:val="0"/>
          <w:color w:val="333333"/>
          <w:spacing w:val="0"/>
          <w:sz w:val="21"/>
          <w:szCs w:val="21"/>
          <w:shd w:val="clear" w:fill="FFFFFF"/>
        </w:rPr>
        <w:t>　行政执法机关应当按照国家有关规定，全面落实行政执法公示、行政执法全过程记录和重大行政执法决定法制审核制度，实现行政执法信息及时准确公示、行政执法全过程留痕和可回溯管理、重大行政执法决定法制审核全覆盖。</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第五十九条</w:t>
      </w:r>
      <w:r>
        <w:rPr>
          <w:rFonts w:hint="eastAsia" w:ascii="宋体" w:hAnsi="宋体" w:eastAsia="宋体" w:cs="宋体"/>
          <w:i w:val="0"/>
          <w:caps w:val="0"/>
          <w:color w:val="333333"/>
          <w:spacing w:val="0"/>
          <w:sz w:val="21"/>
          <w:szCs w:val="21"/>
          <w:shd w:val="clear" w:fill="FFFFFF"/>
        </w:rPr>
        <w:t>　行政执法中应当推广运用说服教育、劝导示范、行政指导等非强制性手段，依法慎重实施行政强制。采用非强制性手段能够达到行政管理目的的，不得实施行政强制；违法行为情节轻微或者社会危害较小的，可以不实施行政强制；确需实施行政强制的，应当尽可能减少对市场主体正常生产经营活动的影响。</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开展清理整顿、专项整治等活动，应当严格依法进行，除涉及人民群众生命安全、发生重特大事故或者举办国家重大活动，并报经有权机关批准外，不得在相关区域采取要求相关行业、领域的市场主体普遍停产、停业的措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禁止将罚没收入与行政执法机关利益挂钩。</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第六十条</w:t>
      </w:r>
      <w:r>
        <w:rPr>
          <w:rFonts w:hint="eastAsia" w:ascii="宋体" w:hAnsi="宋体" w:eastAsia="宋体" w:cs="宋体"/>
          <w:i w:val="0"/>
          <w:caps w:val="0"/>
          <w:color w:val="333333"/>
          <w:spacing w:val="0"/>
          <w:sz w:val="21"/>
          <w:szCs w:val="21"/>
          <w:shd w:val="clear" w:fill="FFFFFF"/>
        </w:rPr>
        <w:t>　国家健全行政执法自由裁量基准制度，合理确定裁量范围、种类和幅度，规范行政执法自由裁量权的行使。</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第六章　法治保障</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第六十一条</w:t>
      </w:r>
      <w:r>
        <w:rPr>
          <w:rFonts w:hint="eastAsia" w:ascii="宋体" w:hAnsi="宋体" w:eastAsia="宋体" w:cs="宋体"/>
          <w:i w:val="0"/>
          <w:caps w:val="0"/>
          <w:color w:val="333333"/>
          <w:spacing w:val="0"/>
          <w:sz w:val="21"/>
          <w:szCs w:val="21"/>
          <w:shd w:val="clear" w:fill="FFFFFF"/>
        </w:rPr>
        <w:t>　国家根据优化营商环境需要，依照法定权限和程序及时制定或者修改、废止有关法律、法规、规章、行政规范性文件。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优化营商环境的改革措施涉及调整实施现行法律、行政法规等有关规定的，依照法定程序经有权机关授权后，可以先行先试。</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第六十二条</w:t>
      </w:r>
      <w:r>
        <w:rPr>
          <w:rFonts w:hint="eastAsia" w:ascii="宋体" w:hAnsi="宋体" w:eastAsia="宋体" w:cs="宋体"/>
          <w:i w:val="0"/>
          <w:caps w:val="0"/>
          <w:color w:val="333333"/>
          <w:spacing w:val="0"/>
          <w:sz w:val="21"/>
          <w:szCs w:val="21"/>
          <w:shd w:val="clear" w:fill="FFFFFF"/>
        </w:rPr>
        <w:t>　制定与市场主体生产经营活动密切相关的行政法规、规章、行政规范性文件，应当按照国务院的规定，充分听取市场主体、行业协会商会的意见。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除依法需要保密外，制定与市场主体生产经营活动密切相关的行政法规、规章、行政规范性文件，应当通过报纸、网络等向社会公开征求意见，并建立健全意见采纳情况反馈机制。向社会公开征求意见的期限一般不少于30日。</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第六十三条</w:t>
      </w:r>
      <w:r>
        <w:rPr>
          <w:rFonts w:hint="eastAsia" w:ascii="宋体" w:hAnsi="宋体" w:eastAsia="宋体" w:cs="宋体"/>
          <w:i w:val="0"/>
          <w:caps w:val="0"/>
          <w:color w:val="333333"/>
          <w:spacing w:val="0"/>
          <w:sz w:val="21"/>
          <w:szCs w:val="21"/>
          <w:shd w:val="clear" w:fill="FFFFFF"/>
        </w:rPr>
        <w:t>　制定与市场主体生产经营活动密切相关的行政法规、规章、行政规范性文件，应当按照国务院的规定进行公平竞争审查。</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制定涉及市场主体权利义务的行政规范性文件，应当按照国务院的规定进行合法性审核。</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市场主体认为地方性法规同行政法规相抵触，或者认为规章同法律、行政法规相抵触的，可以向国务院书面提出审查建议，由有关机关按照规定程序处理。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第六十四条</w:t>
      </w:r>
      <w:r>
        <w:rPr>
          <w:rFonts w:hint="eastAsia" w:ascii="宋体" w:hAnsi="宋体" w:eastAsia="宋体" w:cs="宋体"/>
          <w:i w:val="0"/>
          <w:caps w:val="0"/>
          <w:color w:val="333333"/>
          <w:spacing w:val="0"/>
          <w:sz w:val="21"/>
          <w:szCs w:val="21"/>
          <w:shd w:val="clear" w:fill="FFFFFF"/>
        </w:rPr>
        <w:t>　没有法律、法规或者国务院决定和命令依据的，行政规范性文件不得减损市场主体合法权益或者增加其义务，不得设置市场准入和退出条件，不得干预市场主体正常生产经营活动。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涉及市场主体权利义务的行政规范性文件应当按照法定要求和程序予以公布，未经公布的不得作为行政管理依据。</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第六十五条</w:t>
      </w:r>
      <w:r>
        <w:rPr>
          <w:rFonts w:hint="eastAsia" w:ascii="宋体" w:hAnsi="宋体" w:eastAsia="宋体" w:cs="宋体"/>
          <w:i w:val="0"/>
          <w:caps w:val="0"/>
          <w:color w:val="333333"/>
          <w:spacing w:val="0"/>
          <w:sz w:val="21"/>
          <w:szCs w:val="21"/>
          <w:shd w:val="clear" w:fill="FFFFFF"/>
        </w:rPr>
        <w:t>　制定与市场主体生产经营活动密切相关的行政法规、规章、行政规范性文件，应当结合实际，确定是否为市场主体留出必要的适应调整期。</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政府及其有关部门应当统筹协调、合理把握规章、行政规范性文件等的出台节奏，全面评估政策效果，避免因政策叠加或者相互不协调对市场主体正常生产经营活动造成不利影响。</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第六十六条</w:t>
      </w:r>
      <w:r>
        <w:rPr>
          <w:rFonts w:hint="eastAsia" w:ascii="宋体" w:hAnsi="宋体" w:eastAsia="宋体" w:cs="宋体"/>
          <w:i w:val="0"/>
          <w:caps w:val="0"/>
          <w:color w:val="333333"/>
          <w:spacing w:val="0"/>
          <w:sz w:val="21"/>
          <w:szCs w:val="21"/>
          <w:shd w:val="clear" w:fill="FFFFFF"/>
        </w:rPr>
        <w:t>　国家完善调解、仲裁、行政裁决、行政复议、诉讼等有机衔接、相互协调的多元化纠纷解决机制，为市场主体提供高效、便捷的纠纷解决途径。</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第六十七条</w:t>
      </w:r>
      <w:r>
        <w:rPr>
          <w:rFonts w:hint="eastAsia" w:ascii="宋体" w:hAnsi="宋体" w:eastAsia="宋体" w:cs="宋体"/>
          <w:i w:val="0"/>
          <w:caps w:val="0"/>
          <w:color w:val="333333"/>
          <w:spacing w:val="0"/>
          <w:sz w:val="21"/>
          <w:szCs w:val="21"/>
          <w:shd w:val="clear" w:fill="FFFFFF"/>
        </w:rPr>
        <w:t>　国家加强法治宣传教育，落实国家机关普法责任制，提高国家工作人员依法履职能力，引导市场主体合法经营、依法维护自身合法权益，不断增强全社会的法治意识，为营造法治化营商环境提供基础性支撑。</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第六十八条</w:t>
      </w:r>
      <w:r>
        <w:rPr>
          <w:rFonts w:hint="eastAsia" w:ascii="宋体" w:hAnsi="宋体" w:eastAsia="宋体" w:cs="宋体"/>
          <w:i w:val="0"/>
          <w:caps w:val="0"/>
          <w:color w:val="333333"/>
          <w:spacing w:val="0"/>
          <w:sz w:val="21"/>
          <w:szCs w:val="21"/>
          <w:shd w:val="clear" w:fill="FFFFFF"/>
        </w:rPr>
        <w:t>　政府及其有关部门应当整合律师、公证、司法鉴定、调解、仲裁等公共法律服务资源，加快推进公共法律服务体系建设，全面提升公共法律服务能力和水平，为优化营商环境提供全方位法律服务。</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第六十九条</w:t>
      </w:r>
      <w:r>
        <w:rPr>
          <w:rFonts w:hint="eastAsia" w:ascii="宋体" w:hAnsi="宋体" w:eastAsia="宋体" w:cs="宋体"/>
          <w:i w:val="0"/>
          <w:caps w:val="0"/>
          <w:color w:val="333333"/>
          <w:spacing w:val="0"/>
          <w:sz w:val="21"/>
          <w:szCs w:val="21"/>
          <w:shd w:val="clear" w:fill="FFFFFF"/>
        </w:rPr>
        <w:t>　政府和有关部门及其工作人员有下列情形之一的，依法依规追究责任：</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（一）违法干预应当由市场主体自主决策的事项；</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（二）制定或者实施政策措施不依法平等对待各类市场主体；</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（三）违反法定权限、条件、程序对市场主体的财产和企业经营者个人财产实施查封、冻结和扣押等行政强制措施；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（四）在法律、法规规定之外要求市场主体提供财力、物力或者人力；</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（五）没有法律、法规依据，强制或者变相强制市场主体参加评比、达标、表彰、培训、考核、考试以及类似活动，或者借前述活动向市场主体收费或者变相收费；</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（六）违法设立或者在目录清单之外执行政府性基金、涉企行政事业性收费、涉企保证金；</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（七）不履行向市场主体依法作出的政策承诺以及依法订立的各类合同，或者违约拖欠市场主体的货物、工程、服务等账款；</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（八）变相设定或者实施行政许可，继续实施或者变相实施已取消的行政许可，或者转由行业协会商会或者其他组织实施已取消的行政许可；</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（九）为市场主体指定或者变相指定中介服务机构，或者违法强制市场主体接受中介服务；</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（十）制定与市场主体生产经营活动密切相关的行政法规、规章、行政规范性文件时，不按照规定听取市场主体、行业协会商会的意见；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（十一）其他不履行优化营商环境职责或者损害营商环境的情形。</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第七十条</w:t>
      </w:r>
      <w:r>
        <w:rPr>
          <w:rFonts w:hint="eastAsia" w:ascii="宋体" w:hAnsi="宋体" w:eastAsia="宋体" w:cs="宋体"/>
          <w:i w:val="0"/>
          <w:caps w:val="0"/>
          <w:color w:val="333333"/>
          <w:spacing w:val="0"/>
          <w:sz w:val="21"/>
          <w:szCs w:val="21"/>
          <w:shd w:val="clear" w:fill="FFFFFF"/>
        </w:rPr>
        <w:t>　公用企事业单位有下列情形之一的，由有关部门责令改正，依法追究法律责任：</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（一）不向社会公开服务标准、资费标准、办理时限等信息；</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（二）强迫市场主体接受不合理的服务条件；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（三）向市场主体收取不合理费用。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第七十一条</w:t>
      </w:r>
      <w:r>
        <w:rPr>
          <w:rFonts w:hint="eastAsia" w:ascii="宋体" w:hAnsi="宋体" w:eastAsia="宋体" w:cs="宋体"/>
          <w:i w:val="0"/>
          <w:caps w:val="0"/>
          <w:color w:val="333333"/>
          <w:spacing w:val="0"/>
          <w:sz w:val="21"/>
          <w:szCs w:val="21"/>
          <w:shd w:val="clear" w:fill="FFFFFF"/>
        </w:rPr>
        <w:t>　行业协会商会、中介服务机构有下列情形之一的，由有关部门责令改正，依法追究法律责任：</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（一）违法开展收费、评比、认证等行为；</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（二）违法干预市场主体加入或者退出行业协会商会等社会组织；</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（三）没有法律、法规依据，强制或者变相强制市场主体参加评比、达标、表彰、培训、考核、考试以及类似活动，或者借前述活动向市场主体收费或者变相收费；</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（四）不向社会公开办理法定行政审批中介服务的条件、流程、时限、收费标准；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（五）违法强制或者变相强制市场主体接受中介服务。</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1"/>
          <w:szCs w:val="21"/>
          <w:shd w:val="clear" w:fill="FFFFFF"/>
        </w:rPr>
        <w:t>第七章　附　　则</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b/>
          <w:i w:val="0"/>
          <w:caps w:val="0"/>
          <w:color w:val="333333"/>
          <w:spacing w:val="0"/>
          <w:sz w:val="21"/>
          <w:szCs w:val="21"/>
          <w:shd w:val="clear" w:fill="FFFFFF"/>
        </w:rPr>
        <w:t>第七十二条</w:t>
      </w:r>
      <w:r>
        <w:rPr>
          <w:rFonts w:hint="eastAsia" w:ascii="宋体" w:hAnsi="宋体" w:eastAsia="宋体" w:cs="宋体"/>
          <w:i w:val="0"/>
          <w:caps w:val="0"/>
          <w:color w:val="333333"/>
          <w:spacing w:val="0"/>
          <w:sz w:val="21"/>
          <w:szCs w:val="21"/>
          <w:shd w:val="clear" w:fill="FFFFFF"/>
        </w:rPr>
        <w:t>　本条例自2020年1月1日起施行。</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宋体" w:hAnsi="宋体" w:eastAsia="宋体" w:cs="宋体"/>
          <w:b/>
          <w:i w:val="0"/>
          <w:caps w:val="0"/>
          <w:color w:val="333333"/>
          <w:spacing w:val="0"/>
          <w:sz w:val="30"/>
          <w:szCs w:val="30"/>
          <w:shd w:val="clear" w:fill="FFFFFF"/>
        </w:rPr>
      </w:pPr>
      <w:bookmarkStart w:id="73" w:name="_Toc24723"/>
      <w:r>
        <w:rPr>
          <w:rFonts w:hint="eastAsia" w:ascii="宋体" w:hAnsi="宋体" w:eastAsia="宋体" w:cs="宋体"/>
          <w:b/>
          <w:i w:val="0"/>
          <w:caps w:val="0"/>
          <w:color w:val="333333"/>
          <w:spacing w:val="0"/>
          <w:sz w:val="30"/>
          <w:szCs w:val="30"/>
          <w:shd w:val="clear" w:fill="FFFFFF"/>
        </w:rPr>
        <w:t>中共中央办公厅 国务院办公厅</w:t>
      </w:r>
      <w:bookmarkEnd w:id="73"/>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宋体" w:hAnsi="宋体" w:eastAsia="宋体" w:cs="宋体"/>
          <w:b/>
          <w:i w:val="0"/>
          <w:caps w:val="0"/>
          <w:color w:val="333333"/>
          <w:spacing w:val="0"/>
          <w:sz w:val="30"/>
          <w:szCs w:val="30"/>
          <w:shd w:val="clear" w:fill="FFFFFF"/>
        </w:rPr>
      </w:pPr>
      <w:bookmarkStart w:id="74" w:name="_Toc6291"/>
      <w:r>
        <w:rPr>
          <w:rFonts w:hint="eastAsia" w:ascii="宋体" w:hAnsi="宋体" w:eastAsia="宋体" w:cs="宋体"/>
          <w:b/>
          <w:i w:val="0"/>
          <w:caps w:val="0"/>
          <w:color w:val="333333"/>
          <w:spacing w:val="0"/>
          <w:sz w:val="30"/>
          <w:szCs w:val="30"/>
          <w:shd w:val="clear" w:fill="FFFFFF"/>
        </w:rPr>
        <w:t>印发《关于强化知识产权保护的意见》</w:t>
      </w:r>
      <w:bookmarkEnd w:id="74"/>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加强知识产权保护，是完善产权保护制度最重要的内容，也是提高我国经济竞争力的最大激励。为贯彻落实党中央、国务院关于强化知识产权保护的决策部署，进一步完善制度、优化机制，现提出如下意见。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rPr>
        <w:t>一、总体要求</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以习近平新时代中国特色社会主义思想为指导，全面贯彻党的十九大和十九届二中、三中、四中全会精神，紧紧围绕统筹推进“五位一体”总体布局和协调推进“四个全面”战略布局，牢固树立保护知识产权就是保护创新的理念，坚持严格保护、统筹协调、重点突破、同等保护，不断改革完善知识产权保护体系，综合运用法律、行政、经济、技术、社会治理手段强化保护，促进保护能力和水平整体提升。力争到2022年，侵权易发多发现象得到有效遏制，权利人维权“举证难、周期长、成本高、赔偿低”的局面明显改观。到2025年，知识产权保护社会满意度达到并保持较高水平，保护能力有效提升，保护体系更加完善，尊重知识价值的营商环境更加优化，知识产权制度激励创新的基本保障作用得到更加有效发挥。</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rPr>
        <w:t>二、强化制度约束，确立知识产权严保护政策导向</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一）加大侵权假冒行为惩戒力度。研究制定知识产权基础性法律的必要性和可行性，加快专利法、商标法、著作权法等修改完善。完善地理标志保护相关立法。加快在专利、著作权等领域引入侵权惩罚性赔偿制度。大幅提高侵权法定赔偿额上限，加大损害赔偿力度。强化民事司法保护，有效执行惩罚性赔偿制度。研究采取没收违法所得、销毁侵权假冒商品等措施，加大行政处罚力度，开展关键领域、重点环节、重点群体行政执法专项行动。规制商标恶意注册、非正常专利申请以及恶意诉讼等行为。探索加强对商业秘密、保密商务信息及其源代码等的有效保护。加强刑事司法保护，推进刑事法律和司法解释的修订完善。加大刑事打击力度，研究降低侵犯知识产权犯罪入罪标准，提高量刑处罚力度，修改罪状表述，推动解决涉案侵权物品处置等问题。强化打击侵权假冒犯罪制度建设，探索完善数据化打假情报导侦工作机制，开展常态化专项打击行动，持续保持高压严打态势。</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二）严格规范证据标准。深入推进知识产权民事、刑事、行政案件“三合一”审判机制改革，完善知识产权案件上诉机制，统一审判标准。制定完善行政执法过程中的商标、专利侵权判断标准。规范司法、行政执法、仲裁、调解等不同渠道的证据标准。推进行政执法和刑事司法立案标准协调衔接，完善案件移送要求和证据标准，制定证据指引，顺畅行政执法和刑事司法衔接。制定知识产权民事诉讼证据规则司法解释，着力解决权利人举证难问题。探索建立侵权行为公证悬赏取证制度，减轻权利人举证责任负担。</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三）强化案件执行措施。建立健全知识产权纠纷调解协议司法确认机制。建立完善市场主体诚信档案“黑名单”制度，实施市场主体信用分类监管，建立重复侵权、故意侵权企业名录社会公布制度，健全失信联合惩戒机制。逐步建立全领域知识产权保护案例指导机制和重大案件公开审理机制。加强对案件异地执行的督促检查，推动形成统一公平的法治环境。</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四）完善新业态新领域保护制度。针对新业态新领域发展现状，研究加强专利、商标、著作权、植物新品种和集成电路布图设计等的保护。探索建立药品专利链接制度、药品专利期限补偿制度。研究加强体育赛事转播知识产权保护。加强公证电子存证技术推广应用。研究建立跨境电商知识产权保护规则，制定电商平台保护管理标准。编制发布企业知识产权保护指南，制定合同范本、维权流程等操作指引，鼓励企业加强风险防范机制建设，持续优化大众创业万众创新保护环境。研究制定传统文化、传统知识等领域保护办法，加强中医药知识产权保护。</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rPr>
        <w:t>三、加强社会监督共治，构建知识产权大保护工作格局</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五）加大执法监督力度。加强人大监督，开展知识产权执法检查。发挥政协民主监督作用，定期开展知识产权保护工作调研。建立健全奖优惩劣制度，提高执法监管效能。加强监督问责，推动落实行政执法信息公开相关规定，更大范围更大力度公开执法办案信息，接受社会和舆论监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六）建立健全社会共治模式。完善知识产权仲裁、调解、公证工作机制，培育和发展仲裁机构、调解组织和公证机构。鼓励行业协会、商会建立知识产权保护自律和信息沟通机制。引导代理行业加强自律自治，全面提升代理机构监管水平。加强诚信体系建设，将知识产权出质登记、行政处罚、抽查检查结果等涉企信息，通过国家企业信用信息公示系统统一归集并依法公示。建立健全志愿者制度，调动社会力量积极参与知识产权保护治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七）加强专业技术支撑。加强科技研发，通过源头追溯、实时监测、在线识别等技术手段强化知识产权保护。建设侵权假冒线索智能检测系统，提升打击侵权假冒行为效率及精准度。在知识产权行政执法案件处理和司法活动中引入技术调查官制度，协助行政执法部门、司法部门准确高效认定技术事实。探索加强知识产权侵权鉴定能力建设，研究建立侵权损害评估制度，进一步加强司法鉴定机构专业化、程序规范化建设。</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rPr>
        <w:t>四、优化协作衔接机制，突破知识产权快保护关键环节</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八）优化授权确权维权衔接程序。加强专利、商标、植物新品种等审查能力建设，进一步压缩审查周期。重点提高实用新型和外观设计专利审查质量，强化源头保护。进一步发挥专利商标行政确权远程审理、异地审理制度在重大侵权行政执法案件处理中的作用。健全行政确权、公证存证、仲裁、调解、行政执法、司法保护之间的衔接机制，加强信息沟通和共享，形成各渠道有机衔接、优势互补的运行机制，切实提高维权效率。</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九）加强跨部门跨区域办案协作。制定跨部门案件处理规程，健全部门间重大案件联合查办和移交机制。健全行政执法部门与公安部门对涉嫌犯罪的知识产权案件查办工作衔接机制。在案件多发地区探索建立仲裁、调解优先推荐机制。建立健全知识产权案件分流制度，推进案件繁简分流机制改革。推动建立省级行政区内知识产权案件跨区域审理机制，充分发挥法院案件指定管辖机制作用，有效打破地方保护。</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推动简易案件和纠纷快速处理。建立重点关注市场名录，针对电商平台、展会、专业市场、进出口等关键领域和环节构建行政执法、仲裁、调解等快速处理渠道。推动电商平台建立有效运用专利权评价报告快速处置实用新型和外观设计专利侵权投诉制度。指导各类网站规范管理，删除侵权内容，屏蔽或断开盗版网站链接，停止侵权信息传播，打击利用版权诉讼进行投机性牟利等行为。</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一）加强知识产权快保护机构建设。在优势产业集聚区布局建设一批知识产权保护中心，建立案件快速受理和科学分流机制，提供快速审查、快速确权、快速维权“一站式”纠纷解决方案。加快重点技术领域专利、商标、植物新品种审查授权、确权和维权程序。推广利用调解方式快速解决纠纷，高效对接行政执法、司法保护、仲裁等保护渠道和环节。</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rPr>
        <w:t>五、健全涉外沟通机制，塑造知识产权同保护优越环境</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二）更大力度加强国际合作。积极开展海外巡讲活动，举办圆桌会，与相关国家和组织加强知识产权保护合作交流。探索在重要国际展会设立专题展区，开展中国知识产权保护成就海外巡展。充分发挥知识产权制度对促进共建“一带一路”的重要作用，支持共建国家加强能力建设，推动其共享专利、植物新品种审查结果。充分利用各类多双边对话合作机制，加强知识产权保护交流合作与磋商谈判。综合利用各类国际交流合作平台，积极宣传我国知识产权保护发展成就。</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三）健全与国内外权利人沟通渠道。通过召开驻华使领馆信息沟通会、企业座谈会等方式，加强与国内外行业协会、商会、社会团体等信息交流。组织召开知识产权保护要情通报会，及时向新闻媒体和社会公众通报重大事项和进展，增信释疑，积极回应国内外权利人关切。</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四）加强海外维权援助服务。完善海外知识产权纠纷预警防范机制，加强重大案件跟踪研究，建立国外知识产权法律修改变化动态跟踪机制，及时发布风险预警报告。加强海外信息服务平台建设，开展海外知识产权纠纷应对指导，构建海外纠纷协调解决机制。支持各类社会组织开展知识产权涉外风险防控体系建设。鼓励保险机构开展知识产权海外侵权责任险、专利执行险、专利被侵权损失险等保险业务。建立海外维权专家顾问机制，有效推动我国权利人合法权益在海外依法得到同等保护。</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五）健全协调和信息获取机制。完善涉外执法协作机制，加大工作协调力度，进一步加强我国驻外使领馆知识产权对外工作。选设海外知识产权观察企业和社会组织，建立信息沟通机制。健全重大涉外知识产权纠纷信息通报和应急机制。组织开展我国企业海外知识产权保护状况调查，研究建立国别保护状况评估机制，推动改善我国企业海外知识产权保护环境。</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rPr>
        <w:t>六、加强基础条件建设，有力支撑知识产权保护工作</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六）加强基础平台建设。建立健全全国知识产权大数据中心和保护监测信息网络，加强对注册登记、审批公告、纠纷处理、大案要案等信息的统计监测。建立知识产权执法信息报送统筹协调和信息共享机制，加大信息集成力度，提高综合研判和宏观决策水平。强化维权援助、举报投诉等公共服务平台软硬件建设，丰富平台功能，提升便民利民服务水平。</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七）加强专业人才队伍建设。鼓励引导地方、部门、教育机构、行业协会、学会加大对知识产权保护专业人才培训力度。加强知识产权行政执法和司法队伍人员配备和职业化专业化建设，建立有效激励行政执法和司法人员积极性的机制，确保队伍稳定和有序交流。推动知识产权刑事案件办理专业化建设，提高侦查、审查逮捕、审查起诉、审判工作效率和办案质量。在有关管理部门和企事业单位，全面推行公职律师、公司律师、法律顾问制度，促进知识产权管理和保护工作法治化。充分发挥律师等法律服务队伍作用，做好知识产权纠纷调解、案件代理、普法宣传等工作。建立健全知识产权仲裁、调解、公证、社会监督等人才的选聘、管理、激励制度。加强知识产权保护专业人才岗位锻炼，充分发挥各类人才在维权实践中的作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八）加大资源投入和支持力度。各地区各部门要加大对知识产权保护资金投入力度。鼓励条件成熟的地区先行先试，率先建设知识产权保护试点示范区，形成若干保护高地。推动知识产权行政执法和司法装备现代化、智能化建设。鼓励企业加大资金投入，并通过市场化方式设立知识产权保护维权互助基金，提升自我维权能力和水平。</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rPr>
        <w:t>七、加大组织实施力度，确保工作任务落实</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九）加强组织领导。全面加强党对知识产权保护工作的领导。各有关方面要按照职能分工，研究具体政策措施，协同推动知识产权保护体系建设。国家知识产权局要会同有关部门不断完善工作机制，加强协调指导和督促检查，确保各项工作要求有效落实，重大问题要及时按程序向党中央、国务院请示报告。</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二十）狠抓贯彻落实。地方各级党委和政府要全面贯彻党中央、国务院决策部署，落实知识产权保护属地责任，定期召开党委或政府专题会议，研究知识产权保护工作，加强体制机制建设，制定配套措施，落实人员经费。要将知识产权保护工作纳入地方党委和政府重要议事日程，定期开展评估，确保各项措施落实到位。</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二十一）强化考核评价。建立健全考核评价制度，将知识产权保护绩效纳入地方党委和政府绩效考核和营商环境评价体系。建立年度知识产权保护社会满意度调查制度和保护水平评估制度。完善通报约谈机制，督促各级党委和政府加大知识产权保护工作力度。</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二十二）加强奖励激励。按照国家有关规定，对在知识产权保护工作中作出突出贡献的集体和个人给予表彰。鼓励各级政府充分利用现有奖励制度，对知识产权保护先进工作者和优秀社会参与者加强表彰。完善侵权假冒举报奖励机制，加大对举报人员奖励力度，激发社会公众参与知识产权保护工作的积极性和主动性。</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二十三）加强宣传引导。各地区各部门要加强舆论引导，定期公开发布有社会影响力的典型案件，让强化知识产权保护的观念深入人心。加强公益宣传，开展知识产权保护进企业、进单位、进社区、进学校、进网络等活动，不断提高全社会特别是创新创业主体知识产权保护意识，推动形成新时代知识产权保护工作新局面。</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center"/>
        <w:rPr>
          <w:sz w:val="24"/>
          <w:szCs w:val="24"/>
        </w:rPr>
      </w:pPr>
      <w:r>
        <w:rPr>
          <w:rFonts w:hint="eastAsia" w:ascii="宋体" w:hAnsi="宋体" w:eastAsia="宋体" w:cs="宋体"/>
          <w:b/>
          <w:i w:val="0"/>
          <w:caps w:val="0"/>
          <w:color w:val="333333"/>
          <w:spacing w:val="0"/>
          <w:sz w:val="30"/>
          <w:szCs w:val="30"/>
          <w:shd w:val="clear" w:fill="FFFFFF"/>
        </w:rPr>
        <w:t>中共中央 国务院</w:t>
      </w:r>
      <w:r>
        <w:rPr>
          <w:rFonts w:hint="eastAsia" w:ascii="宋体" w:hAnsi="宋体" w:eastAsia="宋体" w:cs="宋体"/>
          <w:b/>
          <w:i w:val="0"/>
          <w:caps w:val="0"/>
          <w:color w:val="333333"/>
          <w:spacing w:val="0"/>
          <w:sz w:val="30"/>
          <w:szCs w:val="30"/>
          <w:shd w:val="clear" w:fill="FFFFFF"/>
        </w:rPr>
        <w:br w:type="textWrapping"/>
      </w:r>
      <w:r>
        <w:rPr>
          <w:rFonts w:hint="eastAsia" w:ascii="宋体" w:hAnsi="宋体" w:eastAsia="宋体" w:cs="宋体"/>
          <w:b/>
          <w:i w:val="0"/>
          <w:caps w:val="0"/>
          <w:color w:val="333333"/>
          <w:spacing w:val="0"/>
          <w:sz w:val="30"/>
          <w:szCs w:val="30"/>
          <w:shd w:val="clear" w:fill="FFFFFF"/>
        </w:rPr>
        <w:t>关于推进贸易高质量发展的指导意见</w:t>
      </w:r>
      <w:r>
        <w:rPr>
          <w:rFonts w:hint="eastAsia" w:ascii="宋体" w:hAnsi="宋体" w:eastAsia="宋体" w:cs="宋体"/>
          <w:b/>
          <w:i w:val="0"/>
          <w:caps w:val="0"/>
          <w:color w:val="333333"/>
          <w:spacing w:val="0"/>
          <w:sz w:val="30"/>
          <w:szCs w:val="30"/>
          <w:shd w:val="clear" w:fill="FFFFFF"/>
        </w:rPr>
        <w:br w:type="textWrapping"/>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推进贸易高质量发展，是党中央面对国际国内形势深刻变化作出的重大决策部署，是奋力推进新时代中国特色社会主义事业的必然要求，是事关经济社会发展全局的大事。为加快培育贸易竞争新优势，推进贸易高质量发展，现提出如下意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rPr>
        <w:t>一、总体要求</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以习近平新时代中国特色社会主义思想为指导，全面贯彻党的十九大和十九届二中、三中、四中全会精神，坚持新发展理念，坚持推动高质量发展，以供给侧结构性改革为主线，加快推动由商品和要素流动型开放向规则等制度型开放转变，建设更高水平开放型经济新体制，完善涉外经贸法律和规则体系，深化外贸领域改革，坚持市场化原则和商业规则，强化科技创新、制度创新、模式和业态创新，以共建“一带一路”为重点，大力优化贸易结构，推动进口与出口、货物贸易与服务贸易、贸易与双向投资、贸易与产业协调发展，促进国际国内要素有序自由流动、资源高效配置、市场深度融合，促进国际收支基本平衡，实现贸易高质量发展，开创开放合作、包容普惠、共享共赢的国际贸易新局面，为推动我国经济社会发展和构建人类命运共同体作出更大贡献。</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到2022年，贸易结构更加优化，贸易效益显著提升，贸易实力进一步增强，建立贸易高质量发展的指标、政策、统计、绩效评价体系。</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rPr>
        <w:t>二、加快创新驱动，培育贸易竞争新优势</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一）夯实贸易发展的产业基础。发挥市场机制作用，促进贸易与产业互动，推进产业国际化进程。加快发展和培育壮大新兴产业，推动重点领域率先突破。优化升级传统产业，提高竞争力。加快发展现代服务业，特别是生产性服务业，推进先进制造业与现代服务业深度融合。加快建设现代农业。培育具有全球影响力和竞争力的先进制造业集群。</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二）增强贸易创新能力。构建开放、协同、高效的共性技术研发平台，强化制造业创新对贸易的支撑作用。推动互联网、物联网、大数据、人工智能、区块链与贸易有机融合，加快培育新动能。加强原始创新、集成创新。充分利用多双边合作机制，加强技术交流与合作。着力扩大知识产权对外许可。积极融入全球创新网络。</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三）提高产品质量。加强质量管理，积极采用先进技术和标准，提高产品质量。推动一批重点行业产品质量整体达到国际先进水平。进一步完善认证认可制度，加快推进与重点市场认证和检测结果互认。完善检验检测体系，加强检验检测公共服务平台建设。健全重要产品追溯体系。</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四）加快品牌培育。大力培育行业性、区域性品牌。在重点市场举办品牌展览推介，推动品牌产品走向世界。加强商标、专利等知识产权保护和打击假冒伪劣工作，鼓励企业开展商标和专利境外注册。强化品牌研究、品牌设计、品牌定位和品牌交流，完善品牌管理体系。加强商标、地理标志品牌建设，提升中国品牌影响力。</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rPr>
        <w:t>三、优化贸易结构，提高贸易发展质量和效益</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五）优化国际市场布局。继续深耕发达经济体等传统市场。着力深化与共建“一带一路”国家的贸易合作，拓展亚洲、非洲、拉美等市场。逐步提高自贸伙伴、新兴市场和发展中国家在我国对外贸易中的占比，扩大与周边国家贸易规模。综合考虑市场规模、贸易潜力、消费结构、产业互补、国别风险等因素，引导企业开拓一批重点市场。</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六）优化国内区域布局。以“一带一路”建设、京津冀协同发展、长江经济带发展、长江三角洲区域一体化发展、粤港澳大湾区建设、黄河流域生态保护和高质量发展、推进海南全面深化改革开放等重大战略为引领，推动区域间融通联动。推动东部地区新旧动能转换，实现贸易高质量发展。支持中西部和东北地区加快发展，承接国内外产业转移，提高开放型经济比重。提升边境经济合作区、跨境经济合作区发展水平。</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七）优化经营主体。鼓励行业龙头企业提高国际化经营水平，逐步融入全球供应链、产业链、价值链，形成在全球范围内配置要素资源、布局市场网络的能力。支持推动中小企业转型升级，聚焦主业，走“专精特新”国际化道路。</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八）优化商品结构。大力发展高质量、高技术、高附加值产品贸易。不断提高劳动密集型产品档次和附加值。优化资本品、消费品贸易结构，扩大中间品贸易规模，发展和保护全球产业链。加快推动智能制造发展，逐步从加工制造环节向研发设计、营销服务、品牌经营等环节攀升，稳步提高出口附加值。</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九）优化贸易方式。做强一般贸易，增强议价能力，提高效益和规模。提升加工贸易，鼓励向产业链两端延伸，推动产业链升级；推进维修、再制造、检测等业务发展；利用互联网、大数据等信息技术完善监管。发展其他贸易，加快边境贸易创新发展和转型升级，探索发展新型贸易方式。</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rPr>
        <w:t>四、促进均衡协调，推动贸易可持续发展</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积极扩大进口。适时进一步降低进口关税和制度性成本，激发进口潜力，优化进口结构。扩大先进技术、设备和零部件进口。鼓励国内有需求的资源性产品进口。支持日用消费品、医药和康复、养老护理等设备进口。促进研发设计、节能环保、环境服务等生产性服务进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一）大力发展服务贸易。深化服务贸易领域改革和开放，持续推进服务贸易创新发展试点，完善促进服务贸易发展的管理体制和政策体系。加快数字贸易发展。推进文化、数字服务、中医药服务等领域特色服务出口基地建设。完善技术进出口管理制度，建立健全技术贸易促进体系。探索跨境服务贸易负面清单管理制度。加强服务贸易国际合作，打造“中国服务”国家品牌。</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二）推动贸易与双向投资有效互动。持续放宽外资市场准入，鼓励外资投向新兴产业、高新技术、节能环保、现代服务业等领域，充分发挥外资对产业升级和外贸高质量发展的带动作用。深化国际产能和装备制造合作，培育一批产业定位清晰、发展前景好的境外经贸合作区。大力发展对外工程承包，带动装备、技术、标准、认证和服务走出去。</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三）推进贸易与环境协调发展。发展绿色贸易，严格控制高污染、高耗能产品进出口。鼓励企业进行绿色设计和制造，构建绿色技术支撑体系和供应链，并采用国际先进环保标准，获得节能、低碳等绿色产品认证，实现可持续发展。</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rPr>
        <w:t>五、培育新业态，增添贸易发展新动能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四）促进贸易新业态发展。推进跨境电子商务综合试验区建设，复制推广成熟经验做法。完善跨境电子商务零售进出口管理模式，优化通关作业流程，建立全口径海关统计制度。在总结试点经验基础上，完善管理体制和政策措施，推进市场采购贸易方式试点。完善外贸综合服务企业发展政策，推动信息共享和联合监管。鼓励发展其他贸易新业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五）提升贸易数字化水平。形成以数据驱动为核心、以平台为支撑、以商产融合为主线的数字化、网络化、智能化发展模式。推动企业提升贸易数字化和智能化管理能力。大力提升外贸综合服务数字化水平。积极参与全球数字经济和数字贸易规则制定，推动建立各方普遍接受的国际规则。</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六）加快服务外包转型升级。健全服务外包创新机制，培育创新环境，促进创新合作。加快服务外包向高技术、高附加值、高品质、高效益方向发展。发挥服务外包示范城市创新引领作用，促进服务外包产业向价值链中高端转型升级。积极发展设计、维修、咨询、检验检测等领域服务外包，促进生产性服务贸易发展。</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rPr>
        <w:t>六、建设平台体系，发挥对贸易的支撑作用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七）加快培育各类外贸集聚区。推进国家外贸转型升级基地建设，依托产业集聚区，培育一批产业优势明显、创新驱动突出、公共服务体系完善的基地。加快加工贸易转型升级示范区、试点城市和梯度转移重点承接地发展。推进国家级新区、经济技术开发区、高新技术产业开发区、海关特殊监管区域等各类开放平台建设，创新管理制度。</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八）推进贸易促进平台建设。办好中国国际进口博览会，不断提升其吸引力和国际影响力。拓展中国进出口商品交易会（广交会）、中国国际服务贸易交易会（京交会）等综合性展会功能，培育若干国际知名度高、影响力大的境内外展会。培育国家进口贸易促进创新示范区，创新监管制度、服务功能、交易模式，带动周边地区增强进口能力。</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九）推进国际营销体系建设。鼓励企业针对不同市场、不同产品建设营销保障支撑体系，促进线上线下融合发展。完善售后服务标准，提高用户满意度，积极运用物联网、大数据等技术手段开展远程监测诊断、运营维护、技术支持等售后服务。推进国际营销公共平台建设。</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（二十）完善外贸公共服务平台建设。加强对重点市场相关法律、准入政策、技术法规、市场信息等收集发布。支持各级政府、行业组织及企业建设不同层级、不同领域的公共服务平台，加强公共服务供给。</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二十一）构建高效跨境物流体系。推进跨境基础设施建设与互联互通，共同推动运输便利化安排和大通关协作。加快发展智能化多式联运。加快智慧港口建设。鼓励电商、快递、物流龙头企业建设境外仓储物流配送中心，逐步打造智能物流网络。</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rPr>
        <w:t>七、深化改革开放，营造法治化国际化便利化贸易环境</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二十二）深化管理体制改革。进一步推进外贸体制改革，加强事中事后监管。完善政策协调机制，加强财税、金融、产业、贸易等政策之间衔接。推动世界贸易组织《贸易便利化协定》在国内实施。优化通关、退税、外汇、安全、环保管理方式，推进国际贸易“单一窗口”建设和应用，落实减税降费政策，加快打造国际一流、公平竞争的营商环境。</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二十三）充分发挥自由贸易试验区示范引领作用，高水平建设中国特色自由贸易港。以制度创新为核心，推动自由贸易试验区先行先试，开展首创性、差别化改革探索，加快形成法治化国际化便利化的营商环境和公平开放统一高效的市场环境。探索实施国际通行的货物、资金、人员出入境等管理制度。积极复制推广改革试点经验。加快探索建设自由贸易港，打造开放层次更高、营商环境更优、辐射作用更强的开放新高地。</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二十四）加强知识产权保护和信用体系建设。加大对侵权违法行为的惩治力度。加强知识产权保护国际合作，积极参与相关国际规则构建。完善海外知识产权维权援助机制。推进商务、知识产权、海关、税务、外汇等部门信息共享、协同执法的监管体系建设。建立经营主体信用记录，实施失信联合惩戒。</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rPr>
        <w:t>八、坚持共商共建共享，深化“一带一路”经贸合作</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二十五）深化贸易合作。拓宽贸易领域，推动优质农产品、制成品和服务进口，促进贸易平衡发展。发展特色服务贸易。推进中欧班列、西部陆海新通道等国际物流和贸易大通道建设。发展“丝路电商”，鼓励企业在相关国家开展电子商务。积极开展促贸援助。推进商建贸易畅通工作机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二十六）创新投资合作。拓宽双向投资领域，推动绿色基础设施建设、绿色投资，推动企业按照国际规则标准进行项目建设和运营。鼓励合作建设境外经贸合作区、跨境经济合作区等产业园区，促进产业集群发展。推动新兴产业合作。推进商建投资合作工作机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二十七）促进贸易投资自由化便利化。积极开展共建“一带一路”经贸领域合作、三方合作、多边合作，推进合作共赢的开放体系建设，加强贸易和投资领域规则标准对接。推动削减非关税壁垒，提高技术性贸易措施透明度，提升贸易投资便利化水平。</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rPr>
        <w:t>九、坚持互利共赢，拓展贸易发展新空间</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二十八）建设性参与全球经济治理，推动区域、次区域合作。维护以规则为基础的开放、包容、透明、非歧视性等世界贸易组织核心价值和基本原则，反对单边主义和保护主义，推动对世界贸易组织进行必要改革。积极参与多边贸易规则谈判，维护多边贸易体制的权威性和有效性。深入参与二十国集团、金砖国家、亚太经合组织、湄公河次区域经济合作、大图们倡议等多边和区域、次区域合作机制，积极贡献更多中国倡议、中国方案。</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二十九）加快高标准自由贸易区建设。不断扩大自由贸易区网络覆盖范围，加快形成立足周边、辐射“一带一路”、面向全球的高标准自由贸易区网络。推动与世界重要经济体商建自由贸易区进程，努力提高开放水平，扩大市场准入，提高规则标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rPr>
        <w:t>十、加强组织实施，健全保障体系</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（三十）加强党对推进贸易高质量发展工作的全面领导。建立推进贸易高质量发展工作机制，整体推进贸易高质量发展，工作机制办公室设在商务部。商务部会同有关部门，加强协调指导，制定行动计划。</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（三十一）健全法律法规体系。落实全面依法治国基本方略，不断完善贸易及相关领域国内立法，为贸易高质量发展提供法治保障。促进国内经贸立法与国际经贸规则的良性互动。加强贸易政策合规工作。</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三十二）加大政策支持力度。在符合世界贸易组织规则前提下，发挥财政资金对贸易发展的促进作用。结合增值税改革和立法，逐步完善出口退税机制。在依法合规、风险可控、商业可持续前提下，支持金融机构有序开展金融创新，提供多样化、综合化金融服务。进一步发挥进出口信贷和出口信用保险作用。稳步提高跨境贸易人民币结算比例，扩大经常项目人民币跨境使用，拓宽人民币跨境投融资渠道。</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三十三）加强贸易领域风险防范。加快出口管制体系建设，强化最终用户最终用途管理。继续敦促相关国家放宽对华出口管制。建立出口管制合规体系。完善对外贸易调查制度。健全产业损害预警体系。妥善应对贸易摩擦。提升运用贸易救济规则能力和水平。研究设立贸易调整援助制度。加强风险监测分析预警，引导企业防范风险。</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三十四）完善中介组织和智力支撑体系。加强与国际组织、各国各地区相关机构和工商业界交流合作，充分发挥行业组织、贸促机构在贸易促进、信息交流、标准体系建设、行业自律、应对摩擦等方面的作用，助力外贸高质量发展。设立推进贸易高质量发展专家咨询委员会。强化外贸发展人才支撑。</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中央和国家机关有关部门要按照职能分工，研究具体政策措施，加强协同配合，形成工作合力。各级党委和政府要切实加强组织领导，强化责任担当，结合本地区实际进一步明确重点任务，抓好相关工作落实。</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2" w:lineRule="atLeast"/>
        <w:ind w:left="0" w:right="0" w:firstLine="0"/>
        <w:jc w:val="center"/>
        <w:rPr>
          <w:rFonts w:hint="eastAsia" w:ascii="微软雅黑" w:hAnsi="微软雅黑" w:eastAsia="微软雅黑" w:cs="微软雅黑"/>
          <w:b w:val="0"/>
          <w:i w:val="0"/>
          <w:caps w:val="0"/>
          <w:color w:val="333333"/>
          <w:spacing w:val="0"/>
          <w:sz w:val="45"/>
          <w:szCs w:val="45"/>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2" w:lineRule="atLeast"/>
        <w:ind w:left="0" w:right="0" w:firstLine="0"/>
        <w:jc w:val="center"/>
        <w:rPr>
          <w:rFonts w:hint="eastAsia" w:ascii="微软雅黑" w:hAnsi="微软雅黑" w:eastAsia="微软雅黑" w:cs="微软雅黑"/>
          <w:b w:val="0"/>
          <w:i w:val="0"/>
          <w:caps w:val="0"/>
          <w:color w:val="333333"/>
          <w:spacing w:val="0"/>
          <w:sz w:val="45"/>
          <w:szCs w:val="45"/>
          <w:bdr w:val="none" w:color="auto" w:sz="0" w:space="0"/>
          <w:shd w:val="clear" w:fill="FFFFFF"/>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center"/>
        <w:rPr>
          <w:rFonts w:hint="eastAsia" w:ascii="宋体" w:hAnsi="宋体" w:eastAsia="宋体" w:cs="宋体"/>
          <w:b/>
          <w:i w:val="0"/>
          <w:caps w:val="0"/>
          <w:color w:val="333333"/>
          <w:spacing w:val="0"/>
          <w:sz w:val="30"/>
          <w:szCs w:val="30"/>
          <w:shd w:val="clear" w:fill="FFFFFF"/>
        </w:rPr>
      </w:pPr>
      <w:r>
        <w:rPr>
          <w:rFonts w:hint="eastAsia" w:ascii="宋体" w:hAnsi="宋体" w:eastAsia="宋体" w:cs="宋体"/>
          <w:b/>
          <w:i w:val="0"/>
          <w:caps w:val="0"/>
          <w:color w:val="333333"/>
          <w:spacing w:val="0"/>
          <w:sz w:val="30"/>
          <w:szCs w:val="30"/>
          <w:shd w:val="clear" w:fill="FFFFFF"/>
        </w:rPr>
        <w:t>中共中央 国务院关于营造更好发展环境支持民营企业改革发展的意见</w:t>
      </w:r>
      <w:r>
        <w:rPr>
          <w:rFonts w:hint="eastAsia" w:ascii="宋体" w:hAnsi="宋体" w:eastAsia="宋体" w:cs="宋体"/>
          <w:b/>
          <w:i w:val="0"/>
          <w:caps w:val="0"/>
          <w:color w:val="333333"/>
          <w:spacing w:val="0"/>
          <w:sz w:val="30"/>
          <w:szCs w:val="30"/>
          <w:shd w:val="clear" w:fill="FFFFFF"/>
        </w:rPr>
        <w:br w:type="textWrapping"/>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改革开放40多年来，民营企业在推动发展、促进创新、增加就业、改善民生和扩大开放等方面发挥了不可替代的作用。民营经济已经成为我国公有制为主体多种所有制经济共同发展的重要组成部分。为进一步激发民营企业活力和创造力，充分发挥民营经济在推进供给侧结构性改革、推动高质量发展、建设现代化经济体系中的重要作用，现就营造更好发展环境支持民营企业改革发展提出如下意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rPr>
        <w:t>一、总体要求</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一）指导思想。以习近平新时代中国特色社会主义思想为指导，全面贯彻党的十九大和十九届二中、三中、四中全会精神，深入落实习近平总书记在民营企业座谈会上的重要讲话精神，坚持和完善社会主义基本经济制度，坚持“两个毫不动摇”，坚持新发展理念，坚持以供给侧结构性改革为主线，营造市场化、法治化、国际化营商环境，保障民营企业依法平等使用资源要素、公开公平公正参与竞争、同等受到法律保护，推动民营企业改革创新、转型升级、健康发展，让民营经济创新源泉充分涌流，让民营企业创造活力充分迸发，为实现“两个一百年”奋斗目标和中华民族伟大复兴的中国梦作出更大贡献。</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二）基本原则。坚持公平竞争，对各类市场主体一视同仁，营造公平竞争的市场环境、政策环境、法治环境，确保权利平等、机会平等、规则平等；遵循市场规律，处理好政府与市场的关系，强化竞争政策的基础性地位，注重采用市场化手段，通过市场竞争实现企业优胜劣汰和资源优化配置，促进市场秩序规范；支持改革创新，鼓励和引导民营企业加快转型升级，深化供给侧结构性改革，不断提升技术创新能力和核心竞争力；加强法治保障，依法保护民营企业和企业家的合法权益，推动民营企业筑牢守法合规经营底线。</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rPr>
        <w:t>二、优化公平竞争的市场环境</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三）进一步放开民营企业市场准入。深化“放管服”改革，进一步精简市场准入行政审批事项，不得额外对民营企业设置准入条件。全面落实放宽民营企业市场准入的政策措施，持续跟踪、定期评估市场准入有关政策落实情况，全面排查、系统清理各类显性和隐性壁垒。在电力、电信、铁路、石油、天然气等重点行业和领域，放开竞争性业务，进一步引入市场竞争机制。支持民营企业以参股形式开展基础电信运营业务，以控股或参股形式开展发电配电售电业务。支持民营企业进入油气勘探开发、炼化和销售领域，建设原油、天然气、成品油储运和管道输送等基础设施。支持符合条件的企业参与原油进口、成品油出口。在基础设施、社会事业、金融服务业等领域大幅放宽市场准入。上述行业、领域相关职能部门要研究制定民营企业分行业、分领域、分业务市场准入具体路径和办法，明确路线图和时间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四）实施公平统一的市场监管制度。进一步规范失信联合惩戒对象纳入标准和程序，建立完善信用修复机制和异议制度，规范信用核查和联合惩戒。加强优化营商环境涉及的法规规章备案审查。深入推进部门联合“双随机、一公开”监管，推行信用监管和“互联网+监管”改革。细化明确行政执法程序，规范执法自由裁量权，严格规范公正文明执法。完善垄断性中介管理制度，清理强制性重复鉴定评估。深化要素市场化配置体制机制改革，健全市场化要素价格形成和传导机制，保障民营企业平等获得资源要素。</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五）强化公平竞争审查制度刚性约束。坚持存量清理和增量审查并重，持续清理和废除妨碍统一市场和公平竞争的各种规定和做法，加快清理与企业性质挂钩的行业准入、资质标准、产业补贴等规定和做法。推进产业政策由差异化、选择性向普惠化、功能性转变。严格审查新出台的政策措施，建立规范流程，引入第三方开展评估审查。建立面向各类市场主体的有违公平竞争问题的投诉举报和处理回应机制并及时向社会公布处理情况。</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六）破除招投标隐性壁垒。对具备相应资质条件的企业，不得设置与业务能力无关的企业规模门槛和明显超过招标项目要求的业绩门槛等。完善招投标程序监督与信息公示制度，对依法依规完成的招标，不得以中标企业性质为由对招标责任人进行追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rPr>
        <w:t>三、完善精准有效的政策环境</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七）进一步减轻企业税费负担。切实落实更大规模减税降费，实施好降低增值税税率、扩大享受税收优惠小微企业范围、加大研发费用加计扣除力度、降低社保费率等政策，实质性降低企业负担。建立完善监督检查清单制度，落实涉企收费清单制度，清理违规涉企收费、摊派事项和各类评比达标活动，加大力度清理整治第三方截留减税降费红利等行为，进一步畅通减税降费政策传导机制，切实降低民营企业成本费用。既要以最严格的标准防范逃避税，又要避免因为不当征税影响企业正常运行。</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八）健全银行业金融机构服务民营企业体系。进一步提高金融结构与经济结构匹配度，支持发展以中小微民营企业为主要服务对象的中小金融机构。深化联合授信试点，鼓励银行与民营企业构建中长期银企关系。健全授信尽职免责机制，在内部绩效考核制度中落实对小微企业贷款不良容忍的监管政策。强化考核激励，合理增加信用贷款，鼓励银行提前主动对接企业续贷需求，进一步降低民营和小微企业综合融资成本。</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九）完善民营企业直接融资支持制度。完善股票发行和再融资制度，提高民营企业首发上市和再融资审核效率。积极鼓励符合条件的民营企业在科创板上市。深化创业板、新三板改革，服务民营企业持续发展。支持服务民营企业的区域性股权市场建设。支持民营企业发行债券，降低可转债发行门槛。在依法合规的前提下，支持资管产品和保险资金通过投资私募股权基金等方式积极参与民营企业纾困。鼓励通过债务重组等方式合力化解股票质押风险。积极吸引社会力量参与民营企业债转股。</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健全民营企业融资增信支持体系。推进依托供应链的票据、订单等动产质押融资，鼓励第三方建立供应链综合服务平台。民营企业、中小企业以应收账款申请担保融资的，国家机关、事业单位和大型企业等应付款方应当及时确认债权债务关系。推动抵质押登记流程简便化、标准化、规范化，建立统一的动产和权利担保登记公示系统。积极探索建立为优质民营企业增信的新机制，鼓励有条件的地方设立中小民营企业风险补偿基金，研究推出民营企业增信示范项目。发展民营企业债券融资支持工具，以市场化方式增信支持民营企业融资。</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一）建立清理和防止拖欠账款长效机制。各级政府、大型国有企业要依法履行与民营企业、中小企业签订的协议和合同，不得违背民营企业、中小企业真实意愿或在约定的付款方式之外以承兑汇票等形式延长付款期限。加快及时支付款项有关立法，建立拖欠账款问题约束惩戒机制，通过审计监察和信用体系建设，提高政府部门和国有企业的拖欠失信成本，对拖欠民营企业、中小企业款项的责任人严肃问责。</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rPr>
        <w:t>四、健全平等保护的法治环境</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二）健全执法司法对民营企业的平等保护机制。加大对民营企业的刑事保护力度，依法惩治侵犯民营企业投资者、管理者和从业人员合法权益的违法犯罪行为。提高司法审判和执行效率，防止因诉讼拖延影响企业生产经营。保障民营企业家在协助纪检监察机关审查调查时的人身和财产合法权益。健全知识产权侵权惩罚性赔偿制度，完善诉讼证据规则、证据披露以及证据妨碍排除规则。</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三）保护民营企业和企业家合法财产。严格按照法定程序采取查封、扣押、冻结等措施，依法严格区分违法所得、其他涉案财产与合法财产，严格区分企业法人财产与股东个人财产，严格区分涉案人员个人财产与家庭成员财产。持续甄别纠正侵犯民营企业和企业家人身财产权的冤错案件。建立涉政府产权纠纷治理长效机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rPr>
        <w:t>五、鼓励引导民营企业改革创新</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四）引导民营企业深化改革。鼓励有条件的民营企业加快建立治理结构合理、股东行为规范、内部约束有效、运行高效灵活的现代企业制度，重视发挥公司律师和法律顾问作用。鼓励民营企业制定规范的公司章程，完善公司股东会、董事会、监事会等制度，明确各自职权及议事规则。鼓励民营企业完善内部激励约束机制，规范优化业务流程和组织结构，建立科学规范的劳动用工、收入分配制度，推动质量、品牌、财务、营销等精细化管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五）支持民营企业加强创新。鼓励民营企业独立或与有关方面联合承担国家各类科研项目，参与国家重大科学技术项目攻关，通过实施技术改造转化创新成果。各级政府组织实施科技创新、技术转化等项目时，要平等对待不同所有制企业。加快向民营企业开放国家重大科研基础设施和大型科研仪器。在标准制定、复审过程中保障民营企业平等参与。系统清理与企业性质挂钩的职称评定、奖项申报、福利保障等规定，畅通科技创新人才向民营企业流动渠道。在人才引进支持政策方面对民营企业一视同仁，支持民营企业引进海外高层次人才。</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六）鼓励民营企业转型升级优化重组。鼓励民营企业因地制宜聚焦主业加快转型升级。优化企业兼并重组市场环境，支持民营企业做优做强，培育更多具有全球竞争力的世界一流企业。支持民营企业参与国有企业改革。引导中小民营企业走“专精特新”发展之路。畅通市场化退出渠道，完善企业破产清算和重整等法律制度，提高注销登记便利度，进一步做好“僵尸企业”处置工作。</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七）完善民营企业参与国家重大战略实施机制。鼓励民营企业积极参与共建“一带一路”、京津冀协同发展、长江经济带发展、长江三角洲区域一体化发展、粤港澳大湾区建设、黄河流域生态保护和高质量发展、推进海南全面深化改革开放等重大国家战略，积极参与乡村振兴战略。在重大规划、重大项目、重大工程、重大活动中积极吸引民营企业参与。</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rPr>
        <w:t>六、促进民营企业规范健康发展</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八）引导民营企业聚精会神办实业。营造实干兴邦、实业报国的良好社会氛围，鼓励支持民营企业心无旁骛做实业。引导民营企业提高战略规划和执行能力，弘扬工匠精神，通过聚焦实业、做精主业不断提升企业发展质量。大力弘扬爱国敬业、遵纪守法、艰苦奋斗、创新发展、专注品质、追求卓越、诚信守约、履行责任、勇于担当、服务社会的优秀企业家精神，认真总结梳理宣传一批典型案例，发挥示范带动作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九）推动民营企业守法合规经营。民营企业要筑牢守法合规经营底线，依法经营、依法治企、依法维权，认真履行环境保护、安全生产、职工权益保障等责任。民营企业走出去要遵法守法、合规经营，塑造良好形象。</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二十）推动民营企业积极履行社会责任。引导民营企业重信誉、守信用、讲信义，自觉强化信用管理，及时进行信息披露。支持民营企业赴革命老区、民族地区、边疆地区、贫困地区和中西部、东北地区投资兴业，引导民营企业参与对口支援和帮扶工作。鼓励民营企业积极参与社会公益、慈善事业。</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二十一）引导民营企业家健康成长。民营企业家要加强自我学习、自我教育、自我提升，珍视自身社会形象，热爱祖国、热爱人民、热爱中国共产党，把守法诚信作为安身立命之本，积极践行社会主义核心价值观。要加强对民营企业家特别是年轻一代民营企业家的理想信念教育，实施年轻一代民营企业家健康成长促进计划，支持帮助民营企业家实现事业新老交接和有序传承。</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rPr>
        <w:t>七、构建亲清政商关系</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二十二）建立规范化机制化政企沟通渠道。地方各级党政主要负责同志要采取多种方式经常听取民营企业意见和诉求，畅通企业家提出意见诉求通道。鼓励行业协会商会、人民团体在畅通民营企业与政府沟通等方面发挥建设性作用，支持优秀民营企业家在群团组织中兼职。</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二十三）完善涉企政策制定和执行机制。制定实施涉企政策时，要充分听取相关企业意见建议。保持政策连续性稳定性，健全涉企政策全流程评估制度，完善涉企政策调整程序，根据实际设置合理过渡期，给企业留出必要的适应调整时间。政策执行要坚持实事求是，不搞“一刀切”。</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二十四）创新民营企业服务模式。进一步提升政府服务意识和能力，鼓励各级政府编制政务服务事项清单并向社会公布。维护市场公平竞争秩序，完善陷入困境优质企业的救助机制。建立政务服务“好差评”制度。完善对民营企业全生命周期的服务模式和服务链条。</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二十五）建立政府诚信履约机制。各级政府要认真履行在招商引资、政府与社会资本合作等活动中与民营企业依法签订的各类合同。建立政府失信责任追溯和承担机制，对民营企业因国家利益、公共利益或其他法定事由需要改变政府承诺和合同约定而受到的损失，要依法予以补偿。</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rPr>
        <w:t>八、组织保障</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二十六）建立健全民营企业党建工作机制。坚持党对支持民营企业改革发展工作的领导，增强“四个意识”，坚定“四个自信”，做到“两个维护”，教育引导民营企业和企业家拥护党的领导，支持企业党建工作。指导民营企业设立党组织，积极探索创新党建工作方式，围绕宣传贯彻党的路线方针政策、团结凝聚职工群众、维护各方合法权益、建设先进企业文化、促进企业健康发展等开展工作，充分发挥党组织的战斗堡垒作用和党员的先锋模范作用，努力提升民营企业党的组织和工作覆盖质量。</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二十七）完善支持民营企业改革发展工作机制。建立支持民营企业改革发展的领导协调机制。将支持民营企业发展相关指标纳入高质量发展绩效评价体系。加强民营经济统计监测和分析工作。开展面向民营企业家的政策培训。</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二十八）健全舆论引导和示范引领工作机制。加强舆论引导，主动讲好民营企业和企业家故事，坚决抵制、及时批驳澄清质疑社会主义基本经济制度、否定民营经济的错误言论。在各类评选表彰活动中，平等对待优秀民营企业和企业家。研究支持改革发展标杆民营企业和民营经济示范城市，充分发挥示范带动作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各地区各部门要充分认识营造更好发展环境支持民营企业改革发展的重要性，切实把思想和行动统一到党中央、国务院的决策部署上来，加强组织领导，完善工作机制，制定具体措施，认真抓好本意见的贯彻落实。国家发展改革委要会同有关部门适时对支持民营企业改革发展的政策落实情况进行评估，重大情况及时向党中央、国务院报告。</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center"/>
        <w:rPr>
          <w:rFonts w:hint="eastAsia" w:ascii="宋体" w:hAnsi="宋体" w:eastAsia="宋体" w:cs="宋体"/>
          <w:b/>
          <w:i w:val="0"/>
          <w:caps w:val="0"/>
          <w:color w:val="333333"/>
          <w:spacing w:val="0"/>
          <w:sz w:val="30"/>
          <w:szCs w:val="30"/>
          <w:shd w:val="clear" w:fill="FFFFFF"/>
        </w:rPr>
      </w:pPr>
      <w:r>
        <w:rPr>
          <w:rFonts w:hint="eastAsia" w:ascii="宋体" w:hAnsi="宋体" w:eastAsia="宋体" w:cs="宋体"/>
          <w:b/>
          <w:i w:val="0"/>
          <w:caps w:val="0"/>
          <w:color w:val="333333"/>
          <w:spacing w:val="0"/>
          <w:sz w:val="30"/>
          <w:szCs w:val="30"/>
          <w:shd w:val="clear" w:fill="FFFFFF"/>
        </w:rPr>
        <w:t>国务院关于进一步做好稳就业工作的意见</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宋体" w:hAnsi="宋体" w:eastAsia="宋体" w:cs="宋体"/>
          <w:i w:val="0"/>
          <w:caps w:val="0"/>
          <w:color w:val="333333"/>
          <w:spacing w:val="0"/>
          <w:sz w:val="24"/>
          <w:szCs w:val="24"/>
        </w:rPr>
      </w:pPr>
      <w:bookmarkStart w:id="75" w:name="_Toc17326"/>
      <w:r>
        <w:rPr>
          <w:rFonts w:ascii="楷体" w:hAnsi="楷体" w:eastAsia="楷体" w:cs="楷体"/>
          <w:i w:val="0"/>
          <w:caps w:val="0"/>
          <w:color w:val="333333"/>
          <w:spacing w:val="0"/>
          <w:sz w:val="24"/>
          <w:szCs w:val="24"/>
          <w:bdr w:val="none" w:color="auto" w:sz="0" w:space="0"/>
          <w:shd w:val="clear" w:fill="FFFFFF"/>
        </w:rPr>
        <w:t>国发〔2019〕28号</w:t>
      </w:r>
      <w:bookmarkEnd w:id="75"/>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各省、自治区、直辖市人民政府，国务院各部委、各直属机构：</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就业是民生之本、财富之源。当前我国就业形势保持总体平稳，但国内外风险挑战增多，稳就业压力加大。为全力做好稳就业工作，现提出以下意见。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rPr>
        <w:t>一、总体要求</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以习近平新时代中国特色社会主义思想为指导，全面贯彻党的十九大和十九届二中、三中、四中全会精神，坚持把稳就业摆在更加突出位置，强化底线思维，做实就业优先政策，健全有利于更充分更高质量就业的促进机制，坚持创造更多就业岗位和稳定现有就业岗位并重，突出重点、统筹推进、精准施策，全力防范化解规模性失业风险，全力确保就业形势总体稳定。</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rPr>
        <w:t>二、支持企业稳定岗位</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一）加大援企稳岗力度。阶段性降低失业保险费率、工伤保险费率的政策，实施期限延长至2021年4月30日。参保企业面临暂时性生产经营困难且恢复有望、坚持不裁员或少裁员的失业保险稳岗返还政策，以及困难企业开展职工在岗培训的补贴政策，实施期限均延长至2020年12月31日。</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二）加强对企业金融支持。落实普惠金融定向降准政策，释放的资金重点支持民营企业和小微企业融资。鼓励银行完善金融服务民营企业和小微企业的绩效考核激励机制，增加制造业中小微企业中长期贷款和信用贷款。对扩大小微企业融资担保业务规模、降低小微企业融资担保费率等政策性引导较强的地方进行奖补。发挥各级政府中小企业工作领导小组的协调作用，支持中小企业发展，增加就业。发挥各级金融监管机构作用，鼓励银行为重点企业制定专门信贷计划，对遇到暂时困难但符合授信条件的企业，不得盲目抽贷、断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三）引导企业开拓国内市场。完善省际间信息沟通、收益分享等机制，鼓励中西部和东北地区各类产业园区与东部产业转出地区加强对接，及时掌握有转移意愿的企业清单。推广工业用地长期租赁、先租后让、租让结合和弹性年期供应方式，降低物流和用电用能成本，有条件的地区可加大标准厂房建设力度并提供租金优惠，推动制造业跨区域有序转移。搭建跨部门综合服务平台，加强企业产销融通对接，重点支持相关企业对接国内各大电商平台和各行业、各区域大宗采购项目，支持企业拓展国内市场销售渠道。</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四）规范企业裁员行为。支持企业与职工集体协商，采取协商薪酬、调整工时、轮岗轮休、在岗培训等措施，保留劳动关系。对拟进行经济性裁员的企业，指导其依法依规制定和实施职工安置方案，提前30日向工会或全体职工说明相关情况，依法依规支付经济补偿，偿还拖欠的职工工资，补缴欠缴的社会保险费。</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rPr>
        <w:t>三、开发更多就业岗位</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五）挖掘内需带动就业。实施社区生活服务业发展试点，开展家政服务业提质扩容“领跑者”行动试点工作，深入推进家政培训提升行动和家政服务领域信用建设专项行动。加强旅游公共设施建设，推进区域医疗中心建设，开展支持社会力量发展普惠托育服务专项行动。支持养老服务业发展，通过政府购买服务等方式，支持养老服务机构向重点人群提供服务。鼓励汽车、家电、消费电子产品更新消费，有力有序推进老旧汽车报废更新，鼓励限购城市优化机动车限购管理措施。培育国内服务外包市场，支持行政事业单位、国有企业采购专业服务。</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六）加大投资创造就业。合理扩大有效投资，适当降低部分基础设施等项目资本金比例，加快发行使用地方政府专项债券，确保精准投入补短板重点项目。实施城镇老旧小区改造、棚户区改造、农村危房改造等工程，支持城市停车场设施建设，加快国家物流枢纽网络建设。深入实施新一轮重大技术改造升级工程。</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七）稳定外贸扩大就业。研究适时进一步降低进口关税和制度性成本，扩大出口信用保险覆盖面、合理降低保费，确保审核办理正常退税平均时间在10个工作日以内。发挥行业协会、商会、中介机构等作用，引导企业增强议价能力，鼓励提供公益法律服务。建设国际营销服务体系，加快跨境电子商务综合试验区建设，做大做强外贸综合服务企业。</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八）培育壮大新动能拓展就业空间。加快5G商用发展步伐，深入推进战略性新兴产业集群发展工程，加强人工智能、工业互联网等领域基础设施投资和产业布局。支持科技型企业开展联合技术攻关，完善首台（套）重大技术装备示范应用扶持政策，支持科技型企业到海外投资。加快落实促进平台经济规范健康发展的指导意见，促进新产业新业态新模式快速发展。</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rPr>
        <w:t>四、促进劳动者多渠道就业创业</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九）鼓励企业吸纳就业。降低小微企业创业担保贷款申请条件，当年新招用符合条件人员占现有职工比例下调为20%，职工超过100人的比例下调为10%。对企业吸纳登记失业半年以上人员就业且签订1年以上劳动合同并按规定缴纳社会保险的，有条件的地区可给予一次性吸纳就业补贴，实施期限为2020年1月1日至12月31日。</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扶持创业带动就业。持续推进简政放权、放管结合、优化服务改革，进一步优化营商环境，鼓励和支持更多劳动者创业创新。加大创业担保贷款政策实施力度，建立信用乡村、信用园区、创业孵化示范载体推荐免担保机制。实施“双创”支撑平台项目，引导“双创”示范基地、专业化众创空间等优质孵化载体承担相关公共服务事务。鼓励支持返乡创业，年度新增建设用地计划指标优先保障县以下返乡创业用地，支持建设一批农民工返乡创业园、农村创新创业和返乡创业孵化实训基地，建设一批县级农村电商服务中心、物流配送中心和乡镇运输服务站。实施返乡创业能力提升行动，加强返乡创业重点人群、贫困村创业致富带头人、农村电商人才等培训培育。对返乡农民工首次创业且正常经营1年以上的，有条件的地区可给予一次性创业补贴。</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一）支持灵活就业和新就业形态。支持劳动者通过临时性、非全日制、季节性、弹性工作等灵活多样形式实现就业。研究完善支持灵活就业的政策措施，明确灵活就业、新就业形态人员劳动用工、就业服务、权益保障办法，启动新就业形态人员职业伤害保障试点，抓紧清理取消不合理限制灵活就业的规定。对就业困难人员享受灵活就业社会保险补贴政策期满仍未实现稳定就业的，政策享受期限可延长1年，实施期限为2020年1月1日至12月31日。</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二）加强托底安置就业。加大对就业困难人员的就业援助力度，鼓励围绕补齐民生短板拓展公益性岗位。对从事公益性岗位政策期满仍未实现稳定就业的，政策享受期限可延长1年，实施期限为2020年1月1日至12月31日。在农村中小型基础设施建设、农村危房改造中实施以工代赈，组织建档立卡贫困人口参与工程项目建设。</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三）稳定高校毕业生等青年就业。继续组织实施农村教师特岗计划、“三支一扶”计划等基层服务项目。公开招聘一批乡村教师、医生、社会工作者充实基层服务力量。扩大征集应届高校毕业生入伍规模。扩大就业见习规模，适当提高补贴标准，支持企业开发更多见习岗位。</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rPr>
        <w:t>五、大规模开展职业技能培训</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四）大力推进职业技能提升行动。落实完善职业技能提升行动政策措施，按规定给予职业培训补贴和生活费补贴。针对不同对象开展精准培训，全面开展企业职工技能提升培训或转岗转业培训，组织失业人员参加技能培训或创业培训，实施农民工、高校毕业生、退役军人、建档立卡贫困人口、残疾人等重点群体专项培训计划。支持职业院校（含技工院校）积极承担相应培训任务。</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五）扩大技能人才培养培训规模。推进落实职业院校奖助学金调整政策，扩大高职院校奖助学金覆盖面、提高补助标准，设立中等职业教育国家奖学金。推进各地技师学院、技工学校纳入职业教育统一招生平台。组织城乡未继续升学的初高中毕业生、20岁以下有意愿的登记失业人员参加劳动预备制培训，按规定给予培训补贴，对其中的农村学员和困难家庭成员给予生活费补贴，实施期限为2020年1月1日至12月31日。</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六）加强职业培训基础能力建设。启动国家产教融合建设试点，加强公共实训基地和产教融合实训基地建设。支持各类企业和职业院校（含技工院校）合作建设职工培训中心、企业大学和继续教育基地，鼓励设备设施、教学师资、课程教材等培训资源共建共享。实施新职业开发计划，加大职业技能标准和职业培训包开发力度，建立急需紧缺职业目录编制发布制度。</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rPr>
        <w:t>六、做实就业创业服务</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七）推进就业服务全覆盖。劳动年龄内、有劳动能力、有就业要求、处于失业状态的城乡劳动者可在常住地进行失业登记，申请享受基本公共就业服务。健全就业信息监测系统，开放线上失业登记入口，实现失业人员基本信息、求职意愿和就业服务跨地区共享。加强重大项目、重大工程、专项治理对就业影响跟踪应对，对涉及企业关停并转的，主管部门要及时将企业信息提供给当地人力资源社会保障部门；对可能造成规模性失业的，要同步制定应对措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八）加强岗位信息归集提供。政府投资项目产生的岗位信息、各方面开发的公益性岗位信息，在本单位网站和同级人力资源社会保障部门网站公开发布。健全岗位信息公共发布平台，市级以上公共就业人才服务机构要在2020年3月底前实现岗位信息在线发布，并向省级、国家级归集，加快实现公共机构岗位信息区域和全国公开发布。</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九）强化常态化管理服务。实施基层公共就业服务经办能力提升计划，建立登记失业人员定期联系和分级分类服务制度，每月至少进行1次跟踪调查，定期提供职业介绍、职业指导、创业服务，推介就业创业政策和职业培训项目，对其中的就业困难人员提供就业援助。加强重点企业跟踪服务，提供用工指导、政策咨询、劳动关系协调等服务和指导。公共就业人才服务机构、经营性人力资源服务机构和行业协会提供上述服务的，有条件的地区可根据服务人数、成效和成本等，对其给予就业创业服务补助。</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rPr>
        <w:t>七、做好基本生活保障</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二十）更好发挥失业保险作用。对符合领取失业保险金条件的人员，及时发放失业保险金。对领取失业保险金期满仍未就业且距离法定退休年龄不足1年的人员，可继续发放失业保险金直至法定退休年龄。对失业保险金发放出现缺口的地区，采取失业保险调剂金调剂、地方财政补贴等方式予以支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二十一）做好困难人员生活保障。对符合条件的生活困难下岗失业人员，发放临时生活补助。对生活困难的失业人员及家庭，按规定纳入最低生活保障、临时救助等社会救助范围。对实现就业的低保对象，可通过“低保渐退”等措施，增强其就业意愿和就业稳定性。</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rPr>
        <w:t>八、加强组织保障</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二十二）完善工作组织协调机制。县级以上地方政府要切实履行稳就业主体责任，建立政府负责人牵头、相关部门共同参与的工作组织领导机制，明确目标任务、工作责任和督促落实机制，统筹领导和推进本地区稳就业工作和规模性失业风险应对处置，压实促进就业工作责任。</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二十三）完善资金投入保障机制。积极投入就业补助资金，统筹用好失业保险基金、工业企业结构调整专项奖补资金等，用于企业稳定岗位、鼓励就业创业、保障基本生活等稳就业支出。有条件的地方可设立就业风险储备金，用于应对突发性、规模性失业风险。</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二十四）完善就业形势监测机制。持续抓好就业常规统计，提升数据质量和时效性，多维度开展重点区域、重点群体、重点行业、重点企业就业监测。加强移动通信、铁路运输、社保缴纳、招聘求职等大数据比对分析，健全多方参与的就业形势研判机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二十五）完善突发事件处置机制。各地区要第一时间处置因规模性失业引发的群体性突发事件，防止矛盾激化和事态扩大。处置过程中，当地政府可根据需要与可能、统筹不同群体就业需求，依法依规制定临时性应对措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二十六）完善舆论宣传引导机制。大力宣传党中央、国务院稳就业决策部署和支持就业创业政策措施，引导广大劳动者树立正确的劳动观、价值观，选树一批促进就业创业工作典型经验、典型人物，发掘一批在中西部和东北地区、艰苦边远地区、城乡基层就业创业的先进典型，及时开展表彰激励。牢牢把握信息发布和舆论引导主动权，做好舆情监测研判，建立重大舆情沟通协调和应急处置机制，消除误传误解，稳定社会预期。</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hint="eastAsia" w:ascii="宋体" w:hAnsi="宋体" w:eastAsia="宋体" w:cs="宋体"/>
          <w:i w:val="0"/>
          <w:caps w:val="0"/>
          <w:color w:val="333333"/>
          <w:spacing w:val="0"/>
          <w:sz w:val="21"/>
          <w:szCs w:val="21"/>
          <w:shd w:val="clear"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国务院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2019年12月13日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2" w:lineRule="atLeast"/>
        <w:ind w:left="0" w:right="0" w:firstLine="0"/>
        <w:jc w:val="center"/>
        <w:rPr>
          <w:rFonts w:hint="eastAsia" w:ascii="微软雅黑" w:hAnsi="微软雅黑" w:eastAsia="微软雅黑" w:cs="微软雅黑"/>
          <w:b w:val="0"/>
          <w:i w:val="0"/>
          <w:caps w:val="0"/>
          <w:color w:val="333333"/>
          <w:spacing w:val="0"/>
          <w:sz w:val="45"/>
          <w:szCs w:val="45"/>
          <w:bdr w:val="none" w:color="auto" w:sz="0" w:space="0"/>
          <w:shd w:val="clear" w:fill="FFFFFF"/>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center"/>
        <w:rPr>
          <w:rFonts w:hint="eastAsia" w:ascii="宋体" w:hAnsi="宋体" w:eastAsia="宋体" w:cs="宋体"/>
          <w:b/>
          <w:i w:val="0"/>
          <w:caps w:val="0"/>
          <w:color w:val="333333"/>
          <w:spacing w:val="0"/>
          <w:sz w:val="30"/>
          <w:szCs w:val="30"/>
          <w:shd w:val="clear" w:fill="FFFFFF"/>
        </w:rPr>
      </w:pPr>
      <w:r>
        <w:rPr>
          <w:rFonts w:hint="eastAsia" w:ascii="宋体" w:hAnsi="宋体" w:eastAsia="宋体" w:cs="宋体"/>
          <w:b/>
          <w:i w:val="0"/>
          <w:caps w:val="0"/>
          <w:color w:val="333333"/>
          <w:spacing w:val="0"/>
          <w:sz w:val="30"/>
          <w:szCs w:val="30"/>
          <w:shd w:val="clear" w:fill="FFFFFF"/>
        </w:rPr>
        <w:t>中共中央办公厅 国务院办公厅</w:t>
      </w:r>
      <w:r>
        <w:rPr>
          <w:rFonts w:hint="eastAsia" w:ascii="宋体" w:hAnsi="宋体" w:eastAsia="宋体" w:cs="宋体"/>
          <w:b/>
          <w:i w:val="0"/>
          <w:caps w:val="0"/>
          <w:color w:val="333333"/>
          <w:spacing w:val="0"/>
          <w:sz w:val="30"/>
          <w:szCs w:val="30"/>
          <w:shd w:val="clear" w:fill="FFFFFF"/>
        </w:rPr>
        <w:br w:type="textWrapping"/>
      </w:r>
      <w:r>
        <w:rPr>
          <w:rFonts w:hint="eastAsia" w:ascii="宋体" w:hAnsi="宋体" w:eastAsia="宋体" w:cs="宋体"/>
          <w:b/>
          <w:i w:val="0"/>
          <w:caps w:val="0"/>
          <w:color w:val="333333"/>
          <w:spacing w:val="0"/>
          <w:sz w:val="30"/>
          <w:szCs w:val="30"/>
          <w:shd w:val="clear" w:fill="FFFFFF"/>
        </w:rPr>
        <w:t>印发《关于促进劳动力和人才社会性流动体制机制改革的意见》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合理、公正、畅通、有序的社会性流动，是经济持续健康发展的有力支撑，是社会和谐进步的重要标志，是实现人的全面发展的必然要求。党的十九大报告提出，要破除妨碍劳动力、人才社会性流动的体制机制弊端，使人人都有通过辛勤劳动实现自身发展的机会。为深入贯彻落实党的十九大精神，促进劳动力和人才社会性流动体制机制改革，现提出如下意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rPr>
        <w:t>一、总体要求</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以习近平新时代中国特色社会主义思想为指导，全面贯彻党的十九大和十九届二中、三中、四中全会精神，坚持和加强党的全面领导，坚持以人民为中心的发展思想，立足基本国情，把握发展规律，注重市场引领、政府引导，注重改革发力、服务助力，搭建横向流动桥梁、纵向发展阶梯，激发全社会创新创业创造活力，构建合理、公正、畅通、有序的社会性流动格局，引导个人发展融入国家富强、民族复兴进程，促进经济持续健康发展、社会公平正义、国家长治久安。</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rPr>
        <w:t>二、推动经济高质量发展，筑牢社会性流动基础</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一）实施就业优先政策创造流动机会。坚持把稳定和扩大就业作为经济社会发展的优先目标，将就业优先政策置于宏观政策层面，加强政策协调配合，确保经济运行在合理区间，统筹发展资本密集型、技术密集型、知识密集型和劳动密集型产业，创造更充分的流动机会。培育和壮大经济发展新动能，发展新一代信息技术、高端装备、数字创意等新兴产业，实施传统产业智能化改造提升工程，培育智慧农业、现代物流等产业，提供更高质量流动机会。研究机器人、人工智能等技术对就业影响的应对办法。</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二）推动区域协调发展促进流动均衡。建立健全城乡融合发展体制机制和政策体系，推进新型城镇化建设和乡村振兴战略实施，引导城乡各类要素双向流动、平等交换、合理配置。统筹区域协调发展，建立区域合作机制、区域互助机制、区际利益补偿机制，支持中西部、东北地区培育优势特色产业，促进区域间流动机会均衡。优化行政区划设置，以中心城市和城市群为主体构建大中小城市和小城镇协调发展格局，拓宽城市间流动空间。</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三）推进创新创业创造激发流动动力。加强基础学科建设，深化产教融合，加快高层次技术技能型人才培养，开展跨学科和前沿科学研究，推进高水平科技成果转化，厚植创新型国家建设根基。进一步规范行政程序、行政行为和自由裁量权，营造便捷高效、公平竞争、稳定透明的营商环境，压缩企业开办时间，发挥银行、小额贷款公司、创业投资、股权和债券等融资渠道作用，提高民营企业和中小微企业融资可获得性，促进各种所有制经济健康稳定发展。高质量建设一批创业培训（实训）基地、创业孵化基地和农村创新创业园，鼓励劳动者通过创业实现个人发展。</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rPr>
        <w:t>三、畅通有序流动渠道，激发社会性流动活力</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四）以户籍制度和公共服务牵引区域流动。全面取消城区常住人口300万以下的城市落户限制，全面放宽城区常住人口300万至500万的大城市落户条件。完善城区常住人口500万以上的超大特大城市积分落户政策，精简积分项目，确保社会保险缴纳年限和居住年限分数占主要比例。推进基本公共服务均等化，常住人口享有与户籍人口同等的教育、就业创业、社会保险、医疗卫生、住房保障等基本公共服务。稳妥有序探索推进门诊费用异地直接结算，提升就医费用报销便利程度。进一步发挥城镇化促进劳动力和人才社会性流动的作用，全面落实支持农业转移人口市民化的财政政策，推动城镇建设用地增加规模与吸纳农业转移人口落户数量挂钩，推动中央预算内投资安排向吸纳农业转移人口落户数量较多的城镇倾斜。</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五）以用人制度改革促进单位流动。加大党政人才、企事业单位管理人才交流力度，进一步畅通企业、社会组织人员进入党政机关、国有企事业单位渠道。降低艰苦边远地区基层公务员招录门槛，合理设置基层事业单位招聘条件，对退役军人、村（社区）干部等可进行专项或单列计划招录招聘。完善并落实基本养老保险关系跨地区跨制度转移接续办法。</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六）以档案服务改革畅通职业转换。流动人员人事档案可存放在公共就业服务机构、公共人才服务机构等档案管理服务机构，存档人员身份不因档案管理服务机构的不同发生改变。与单位解除劳动关系的大中专毕业生，可凭与原单位解除劳动关系证明、新单位接收证明转递档案。加快档案管理服务信息化建设，推进档案信息全国联通，逐步实现档案转递线上申请、异地通办。研究制定各类民生档案服务促进劳动力和人才社会性流动的具体举措。</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rPr>
        <w:t>四、完善评价激励机制，拓展社会性流动空间</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七）拓展基层人员发展空间。完善艰苦边远地区津贴政策，落实高校毕业生到艰苦边远地区高定工资政策。加快推行县以下事业单位管理岗位职员等级晋升制度，优化基层和扶贫一线教育、科技、医疗、农技等事业单位中高级专业技术岗位设置比例。根据不同职业、不同岗位、不同层次人才特点和职责，坚持共通性与特殊性、水平业绩与发展潜力、定性与定量评价相结合，实行差异化评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八）加大对基层一线人员奖励激励力度。创新基层人才激励机制，对长期在基层一线和艰苦边远地区工作的人才，加大爱岗敬业表现、实际工作业绩、工作年限等评价权重。完善新时代劳动模范和先进工作者评选办法，增加基层单位、一线岗位、技能人才评先选优比例。研究提高技术技能人才表彰规格和层级的具体标准和类型。贯彻落实促进科技成果转化法有关规定，研究制定科研人员获得的职务科技成果转化现金奖励计入当年本单位绩效工资总量、但不受总量限制且不纳入总量基数的具体操作办法。</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九）拓宽技术技能人才上升通道。推进职业资格与职称、职业技能等级制度有效衔接，推动实现技能等级与管理、技术岗位序列相互比照，畅通新职业从业人员职业资格、职称、职业技能等级认定渠道。鼓励用人单位建立首席技师、特级技师等岗位，建立技能人才聘期制和积分晋级制度。支持用人单位打破学历、资历等限制，将工资分配、薪酬增长与岗位价值、技能素质、实绩贡献、创新成果等因素挂钩。</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rPr>
        <w:t>五、健全兜底保障机制，阻断贫困代际传递</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推进精准扶贫促进贫困群体向上流动。坚持因村因户因人精准施策，聚焦“三区三州”等深度贫困地区和特殊贫困群体，深入推进产业、就业、社会保险、健康、教育扶贫工作，确保如期打赢脱贫攻坚战。积极应对外部环境变化、市场波动、产业结构变化对脱贫地方和脱贫人口的冲击，及时跟进研究针对性扶持政策措施。研究制定收入水平略高于建档立卡贫困户的群体支持政策。</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一）推进教育优先发展保障起点公平。推进城乡义务教育一体化发展，实现县域内校舍建设、师资配备、生均公用经费基准定额等标准统一。落实国家学生资助政策，保障家庭经济困难学生、残疾学生等受教育权利。健全以居住证为主要依据的随迁子女义务教育入学政策，确保居住证持有人在居住地依法享受义务教育。继续实施支援中西部地区招生协作计划、重点高校招收农村和贫困地区学生专项计划、职业教育东西协作行动计划及技能脱贫千校行动，在贫困县对口支援建设一批中等职业学校（含技工学校），增加农村地区、贫困地区、贫困家庭学生上大学的机会和接受优质高等教育的机会。</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二）推进公平就业保障困难人员发展机会。建设统一开放、竞争有序的人力资源市场，保障城乡劳动者享有平等的就业权利，依法纠正身份、性别等就业歧视现象。强化公共就业服务，构建多元化供给体系、多渠道供给机制，逐步实现就业扶持政策常住人口全覆盖。加强就业援助，精准识别就业援助对象，制定个性化援助计划，实施优先扶持和重点帮助。对通过市场渠道难以实现就业的困难人员，可通过公益性岗位予以安置，确保零就业家庭动态“清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三）强化社会救助提高困难群众流动能力。推进城乡低保统筹发展，健全低保标准动态调整机制，确保农村低保标准达到国家扶贫标准。全面落实特困人员救助供养制度，进一步加强和改进临时救助工作，切实保障困难群众基本生活。推进未成年人社会保护和农村留守儿童关爱保护工作，加强孤儿和事实无人抚养儿童基本生活保障工作，强化对困境儿童的生活、教育、安全等全方位保障服务。</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21"/>
          <w:szCs w:val="21"/>
          <w:shd w:val="clear" w:fill="FFFFFF"/>
        </w:rPr>
        <w:t>六、组织实施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（十四）加强组织领导。各地区各有关部门要充分认识促进劳动力和人才社会性流动的重要意义，紧扣人民群众现实需求，聚焦关键问题，形成工作合力，结合实际抓好各项政策措施的贯彻落实。</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五）强化法治保障。健全促进劳动力和人才社会性流动领域法律法规，清理妨碍流动的法律法规和政策性文件。认真落实“谁执法谁普法”普法责任制，加强促进劳动力和人才社会性流动相关法律法规学习宣传，积极开展以案释法。加强行政执法和仲裁队伍建设，保障劳动力和人才合法流动权益。</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十六）营造良好氛围。开展多渠道宣传，培育和践行社会主义核心价值观，营造尊重劳动、尊重知识、尊重人才、尊重创造的浓厚氛围，形成“幸福都是奋斗出来的”舆论环境，为实现“两个一百年”奋斗目标、实现中华民族伟大复兴的中国梦集聚强大动力。</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sectPr>
          <w:pgSz w:w="11906" w:h="16838"/>
          <w:pgMar w:top="1440" w:right="1800" w:bottom="1440" w:left="1800" w:header="851" w:footer="992" w:gutter="0"/>
          <w:pgNumType w:start="1"/>
          <w:cols w:space="720" w:num="1"/>
          <w:docGrid w:type="lines" w:linePitch="312" w:charSpace="0"/>
        </w:sect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1"/>
          <w:szCs w:val="21"/>
          <w:shd w:val="clear" w:fill="FFFFFF"/>
        </w:rPr>
      </w:pPr>
    </w:p>
    <w:p>
      <w:pPr>
        <w:pStyle w:val="2"/>
        <w:jc w:val="center"/>
        <w:rPr>
          <w:rFonts w:hint="eastAsia" w:ascii="黑体" w:eastAsia="黑体"/>
          <w:sz w:val="52"/>
          <w:szCs w:val="52"/>
        </w:rPr>
      </w:pPr>
    </w:p>
    <w:p>
      <w:pPr>
        <w:pStyle w:val="2"/>
        <w:jc w:val="center"/>
        <w:rPr>
          <w:rFonts w:hint="eastAsia" w:ascii="黑体" w:eastAsia="黑体"/>
          <w:sz w:val="52"/>
          <w:szCs w:val="52"/>
        </w:rPr>
      </w:pPr>
    </w:p>
    <w:p>
      <w:pPr>
        <w:pStyle w:val="2"/>
        <w:jc w:val="center"/>
        <w:rPr>
          <w:rFonts w:ascii="黑体" w:eastAsia="黑体"/>
          <w:sz w:val="52"/>
          <w:szCs w:val="52"/>
        </w:rPr>
      </w:pPr>
      <w:bookmarkStart w:id="76" w:name="_Toc15930"/>
      <w:r>
        <w:rPr>
          <w:rFonts w:hint="eastAsia" w:ascii="黑体" w:eastAsia="黑体"/>
          <w:sz w:val="52"/>
          <w:szCs w:val="52"/>
        </w:rPr>
        <w:t>部委文件</w:t>
      </w:r>
      <w:bookmarkEnd w:id="76"/>
    </w:p>
    <w:p>
      <w:pPr>
        <w:pStyle w:val="2"/>
        <w:jc w:val="center"/>
        <w:rPr>
          <w:rFonts w:ascii="黑体" w:eastAsia="黑体"/>
          <w:sz w:val="52"/>
          <w:szCs w:val="52"/>
        </w:rPr>
      </w:pPr>
      <w:r>
        <w:rPr>
          <w:rFonts w:hint="eastAsia" w:ascii="黑体" w:eastAsia="黑体"/>
          <w:sz w:val="52"/>
          <w:szCs w:val="52"/>
        </w:rPr>
        <w:br w:type="page"/>
      </w:r>
    </w:p>
    <w:p>
      <w:pPr>
        <w:keepNext w:val="0"/>
        <w:keepLines w:val="0"/>
        <w:widowControl/>
        <w:suppressLineNumbers w:val="0"/>
        <w:spacing w:line="432" w:lineRule="auto"/>
        <w:jc w:val="center"/>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商务部办公厅 财政部办公厅关于支持服务贸易创新发展引导基金做好项目库工作的通知</w:t>
      </w:r>
    </w:p>
    <w:p>
      <w:pPr>
        <w:pStyle w:val="20"/>
        <w:spacing w:before="0" w:beforeAutospacing="0" w:after="0" w:afterAutospacing="0" w:line="360" w:lineRule="auto"/>
        <w:jc w:val="both"/>
        <w:rPr>
          <w:rFonts w:hint="eastAsia"/>
          <w:sz w:val="21"/>
          <w:szCs w:val="21"/>
          <w:lang w:val="en-US" w:eastAsia="zh-CN"/>
        </w:rPr>
      </w:pPr>
    </w:p>
    <w:p>
      <w:pPr>
        <w:pStyle w:val="20"/>
        <w:spacing w:before="0" w:beforeAutospacing="0" w:after="0" w:afterAutospacing="0" w:line="360" w:lineRule="auto"/>
        <w:jc w:val="both"/>
        <w:rPr>
          <w:rFonts w:hint="eastAsia"/>
          <w:sz w:val="21"/>
          <w:szCs w:val="21"/>
          <w:lang w:val="en-US" w:eastAsia="zh-CN"/>
        </w:rPr>
      </w:pPr>
      <w:r>
        <w:rPr>
          <w:rFonts w:hint="eastAsia"/>
          <w:sz w:val="21"/>
          <w:szCs w:val="21"/>
          <w:lang w:val="en-US" w:eastAsia="zh-CN"/>
        </w:rPr>
        <w:t>各省、自治区、直辖市、计划单列市及新疆生产建设兵团商务和财政主管部门，国务院服务贸易发展部际联席会议成员单位办公厅（室），有关国家级行业协会，招商局资本管理（北京）有限公司：</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为贯彻落实党的十九大关于推动形成全面开放新格局推进贸易强国建设和中央经济工作会议关于大力发展服务贸易的精神，将发展服务贸易作为扩大开放、调整经济结构的重要着力点，经国务院批准，财政部、商务部和招商局集团共同发起设立了服务贸易创新发展引导基金（以下简称服贸基金）。根据《服务贸易创新发展引导基金设立工作方案》关于建立项目信息征集协调机制的要求，现将有关事项通知如下：</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一、服贸基金相关情况</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服贸基金是外经贸领域的第一支国家级政府投资基金，按照财政出资引导、社会资金参与、市场方式运作、专业机构管理的原则运营，旨在拓宽融资渠道，扶持服务贸易企业发展壮大。</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（一）基金规模。</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服贸基金总规模300亿元人民币（币种下同），分三期募集。首期基金规模100.08亿元，目前已完成首期资金的认缴工作，并开始投资运营。</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（二）运作模式。</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服贸基金按照“母基金参股子基金+母基金直投项目”方式运作。一是增资和新设投资于服务贸易相关领域的私募投资基金；二是安排部分资金用于直接投资符合一定条件的服务贸易企业。</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（三）投资领域。</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服贸基金及其子基金投资的企业应满足下列条件之一：</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1.符合商务部等部门制定的《服务出口重点领域指导目录》列明的重点领域；</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2.符合商务部等部门制定的《服务外包产业重点发展领域指导目录》列明的重点领域；</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3.列入《国家文化出口重点企业目录》的服务贸易企业；</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4.商务部等部门文件中明确的服务贸易发展的其他重点领域。</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（四）投资决策及运营管理。</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招商局资本管理（北京）有限公司（以下简称服贸基金管理机构）负责管理服贸基金，对潜在投资项目进行调查、分析、筛选、评估，由投资决策委员会（以下简称投决会）进行投资决策。服贸基金管理机构设立项目库（https://FMFund.cmft.com），作为项目信息征集、筛选、管理的平台载体。</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二、积极做好项目推荐工作</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为充分发挥服贸基金的作用，广泛宣传做好推介，请支持服贸基金做好项目推荐的有关工作。</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（一）利用年度工作会议、培训、调研、座谈会等多种渠道向服务贸易企业推介服贸基金，动员符合条件且有融资需求的服务贸易企业在项目库网站自行填报项目信息。</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二）服务贸易发展部际联席会议成员单位、各省级商务和财政部门、有关国家级行业协会可向服贸基金管理机构推荐有较大服务出口潜力且有重要引导带动作用的企业名单和项目信息，纳入项目库管理。服贸基金及其子基金可充分利用项目库有关信息，自主履行项目的评估、决策程序，对有关单位推荐项目具有采纳或否决权。</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（三）建立工作联系机制，请各单位加强与服贸基金管理机构的联系对接。</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三、完善项目库管理</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（一）服贸基金管理机构负责项目库建设和运营维护。服贸基金及其子基金投资的服务贸易项目信息均纳入项目库。</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（二）服贸基金管理机构应充分发挥好项目库作用，投资前深入分析项目信息，投资中加强项目研究独立决策，投资后密切跟踪项目进展情况，努力帮助被投资企业提升竞争力。</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（三）服贸基金管理机构应利用项目库加强对项目的分类管理，定期向商务部、财政部报送投资项目进展信息，并向推荐单位反馈推荐项目进展情况。</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四、加强政策协调形成发展合力</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服务贸易是对外贸易稳定发展的新引擎，是建设贸易强国的重要支撑，也是推动形成全面开放新格局的重要内容。服贸基金是新时代促进服务贸易创新发展的重要方式。对服贸基金及其子基金投资的企业,各省级商务、财政部门应加强与有关部门的政策协调，在对外投资备案（核准）、外汇、保险、海关、信息等方面提升便利化服务水平，发挥政策叠加效应形成发展合力，进一步提升“中国服务”的国际影响力。</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商务部服务贸易和商贸服务业司 </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联系人：敬艳辉   电话：010-65197399</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财政部行政政法司</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联系人：王  静   电话：010-68551341</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招商局资本管理（北京）有限公司</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联系人：张一蒙   储非</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电  话：010-57705889；18601345109，18500038258</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邮  箱：fm@cmhk.com</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 </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附件：</w:t>
      </w:r>
      <w:r>
        <w:rPr>
          <w:rFonts w:hint="eastAsia"/>
          <w:sz w:val="21"/>
          <w:szCs w:val="21"/>
          <w:lang w:val="en-US" w:eastAsia="zh-CN"/>
        </w:rPr>
        <w:drawing>
          <wp:inline distT="0" distB="0" distL="114300" distR="114300">
            <wp:extent cx="152400" cy="152400"/>
            <wp:effectExtent l="0" t="0" r="0" b="0"/>
            <wp:docPr id="1"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IMG_256"/>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sz w:val="21"/>
          <w:szCs w:val="21"/>
          <w:lang w:val="en-US" w:eastAsia="zh-CN"/>
        </w:rPr>
        <w:fldChar w:fldCharType="begin"/>
      </w:r>
      <w:r>
        <w:rPr>
          <w:rFonts w:hint="eastAsia"/>
          <w:sz w:val="21"/>
          <w:szCs w:val="21"/>
          <w:lang w:val="en-US" w:eastAsia="zh-CN"/>
        </w:rPr>
        <w:instrText xml:space="preserve"> HYPERLINK "http://images.mofcom.gov.cn/fms/201901/20190121151728897.docx" </w:instrText>
      </w:r>
      <w:r>
        <w:rPr>
          <w:rFonts w:hint="eastAsia"/>
          <w:sz w:val="21"/>
          <w:szCs w:val="21"/>
          <w:lang w:val="en-US" w:eastAsia="zh-CN"/>
        </w:rPr>
        <w:fldChar w:fldCharType="separate"/>
      </w:r>
      <w:r>
        <w:rPr>
          <w:rFonts w:hint="eastAsia"/>
          <w:sz w:val="21"/>
          <w:szCs w:val="21"/>
          <w:lang w:val="en-US" w:eastAsia="zh-CN"/>
        </w:rPr>
        <w:t>服务贸易创新发展引导基金项目库网站注册指引.docx</w:t>
      </w:r>
      <w:r>
        <w:rPr>
          <w:rFonts w:hint="eastAsia"/>
          <w:sz w:val="21"/>
          <w:szCs w:val="21"/>
          <w:lang w:val="en-US" w:eastAsia="zh-CN"/>
        </w:rPr>
        <w:fldChar w:fldCharType="end"/>
      </w:r>
    </w:p>
    <w:p>
      <w:pPr>
        <w:pStyle w:val="20"/>
        <w:spacing w:before="0" w:beforeAutospacing="0" w:after="0" w:afterAutospacing="0" w:line="360" w:lineRule="auto"/>
        <w:ind w:left="0" w:leftChars="0" w:firstLine="420" w:firstLineChars="200"/>
        <w:jc w:val="both"/>
        <w:rPr>
          <w:rFonts w:hint="eastAsia"/>
          <w:sz w:val="21"/>
          <w:szCs w:val="21"/>
          <w:lang w:val="en-US" w:eastAsia="zh-CN"/>
        </w:rPr>
      </w:pP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 </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                  商务部办公厅     财政部办公厅</w:t>
      </w:r>
    </w:p>
    <w:p>
      <w:pPr>
        <w:pStyle w:val="20"/>
        <w:spacing w:before="0" w:beforeAutospacing="0" w:after="0" w:afterAutospacing="0" w:line="360" w:lineRule="auto"/>
        <w:ind w:left="0" w:leftChars="0" w:firstLine="420" w:firstLineChars="200"/>
        <w:jc w:val="right"/>
        <w:rPr>
          <w:rFonts w:hint="eastAsia"/>
          <w:sz w:val="21"/>
          <w:szCs w:val="21"/>
          <w:lang w:val="en-US" w:eastAsia="zh-CN"/>
        </w:rPr>
      </w:pPr>
      <w:r>
        <w:rPr>
          <w:rFonts w:hint="eastAsia"/>
          <w:sz w:val="21"/>
          <w:szCs w:val="21"/>
          <w:lang w:val="en-US" w:eastAsia="zh-CN"/>
        </w:rPr>
        <w:t>2019年1月7日</w:t>
      </w:r>
    </w:p>
    <w:p>
      <w:pPr>
        <w:keepNext w:val="0"/>
        <w:keepLines w:val="0"/>
        <w:widowControl/>
        <w:suppressLineNumbers w:val="0"/>
        <w:spacing w:line="432" w:lineRule="auto"/>
        <w:jc w:val="center"/>
        <w:rPr>
          <w:rFonts w:hint="eastAsia" w:ascii="宋体" w:hAnsi="宋体" w:eastAsia="宋体" w:cs="Times New Roman"/>
          <w:b/>
          <w:bCs/>
          <w:kern w:val="2"/>
          <w:sz w:val="28"/>
          <w:szCs w:val="28"/>
          <w:lang w:val="en-US" w:eastAsia="zh-CN" w:bidi="ar-SA"/>
        </w:rPr>
      </w:pPr>
    </w:p>
    <w:p>
      <w:pPr>
        <w:keepNext w:val="0"/>
        <w:keepLines w:val="0"/>
        <w:widowControl/>
        <w:suppressLineNumbers w:val="0"/>
        <w:spacing w:line="432" w:lineRule="auto"/>
        <w:jc w:val="center"/>
        <w:rPr>
          <w:rFonts w:hint="eastAsia" w:ascii="宋体" w:hAnsi="宋体" w:eastAsia="宋体" w:cs="Times New Roman"/>
          <w:b/>
          <w:bCs/>
          <w:kern w:val="2"/>
          <w:sz w:val="28"/>
          <w:szCs w:val="28"/>
          <w:lang w:val="en-US" w:eastAsia="zh-CN" w:bidi="ar-SA"/>
        </w:rPr>
      </w:pPr>
    </w:p>
    <w:p>
      <w:pPr>
        <w:keepNext w:val="0"/>
        <w:keepLines w:val="0"/>
        <w:widowControl/>
        <w:suppressLineNumbers w:val="0"/>
        <w:spacing w:line="432" w:lineRule="auto"/>
        <w:jc w:val="center"/>
        <w:rPr>
          <w:rFonts w:hint="eastAsia" w:ascii="宋体" w:hAnsi="宋体" w:eastAsia="宋体" w:cs="Times New Roman"/>
          <w:b/>
          <w:bCs/>
          <w:kern w:val="2"/>
          <w:sz w:val="28"/>
          <w:szCs w:val="28"/>
          <w:lang w:val="en-US" w:eastAsia="zh-CN" w:bidi="ar-SA"/>
        </w:rPr>
      </w:pPr>
    </w:p>
    <w:p>
      <w:pPr>
        <w:keepNext w:val="0"/>
        <w:keepLines w:val="0"/>
        <w:widowControl/>
        <w:suppressLineNumbers w:val="0"/>
        <w:spacing w:line="432" w:lineRule="auto"/>
        <w:jc w:val="center"/>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 xml:space="preserve">关于创业投资企业个人合伙人所得税政策问题的通知 </w:t>
      </w:r>
    </w:p>
    <w:p>
      <w:pPr>
        <w:keepNext w:val="0"/>
        <w:keepLines w:val="0"/>
        <w:widowControl/>
        <w:suppressLineNumbers w:val="0"/>
        <w:spacing w:line="432" w:lineRule="auto"/>
        <w:jc w:val="center"/>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财税〔2019〕8号</w:t>
      </w:r>
    </w:p>
    <w:p>
      <w:pPr>
        <w:pStyle w:val="20"/>
        <w:spacing w:before="0" w:beforeAutospacing="0" w:after="0" w:afterAutospacing="0" w:line="360" w:lineRule="auto"/>
        <w:jc w:val="both"/>
        <w:rPr>
          <w:rFonts w:hint="eastAsia"/>
          <w:sz w:val="21"/>
          <w:szCs w:val="21"/>
        </w:rPr>
      </w:pPr>
      <w:r>
        <w:rPr>
          <w:rFonts w:hint="eastAsia"/>
          <w:sz w:val="21"/>
          <w:szCs w:val="21"/>
        </w:rPr>
        <w:t>各省、自治区、直辖市、计划单列市财政厅（局）、发展改革委、证券监督管理机构，国家税务总局各省、自治区、直辖市、计划单列市税务局，新疆生产建设兵团财政局、发展改革委：</w:t>
      </w:r>
    </w:p>
    <w:p>
      <w:pPr>
        <w:pStyle w:val="20"/>
        <w:spacing w:before="0" w:beforeAutospacing="0" w:after="0" w:afterAutospacing="0" w:line="360" w:lineRule="auto"/>
        <w:jc w:val="both"/>
        <w:rPr>
          <w:rFonts w:hint="eastAsia"/>
          <w:sz w:val="21"/>
          <w:szCs w:val="21"/>
        </w:rPr>
      </w:pPr>
      <w:r>
        <w:rPr>
          <w:rFonts w:hint="eastAsia"/>
          <w:sz w:val="21"/>
          <w:szCs w:val="21"/>
        </w:rPr>
        <w:t>　　为进一步支持创业投资企业（含创投基金，以下统称创投企业）发展，现将有关个人所得税政策问题通知如下：</w:t>
      </w:r>
    </w:p>
    <w:p>
      <w:pPr>
        <w:pStyle w:val="20"/>
        <w:spacing w:before="0" w:beforeAutospacing="0" w:after="0" w:afterAutospacing="0" w:line="360" w:lineRule="auto"/>
        <w:jc w:val="both"/>
        <w:rPr>
          <w:rFonts w:hint="eastAsia"/>
          <w:sz w:val="21"/>
          <w:szCs w:val="21"/>
        </w:rPr>
      </w:pPr>
      <w:r>
        <w:rPr>
          <w:rFonts w:hint="eastAsia"/>
          <w:sz w:val="21"/>
          <w:szCs w:val="21"/>
        </w:rPr>
        <w:t>　　一、创投企业可以选择按单一投资基金核算或者按创投企业年度所得整体核算两种方式之一，对其个人合伙人来源于创投企业的所得计算个人所得税应纳税额。</w:t>
      </w:r>
    </w:p>
    <w:p>
      <w:pPr>
        <w:pStyle w:val="20"/>
        <w:spacing w:before="0" w:beforeAutospacing="0" w:after="0" w:afterAutospacing="0" w:line="360" w:lineRule="auto"/>
        <w:jc w:val="both"/>
        <w:rPr>
          <w:rFonts w:hint="eastAsia"/>
          <w:sz w:val="21"/>
          <w:szCs w:val="21"/>
        </w:rPr>
      </w:pPr>
      <w:r>
        <w:rPr>
          <w:rFonts w:hint="eastAsia"/>
          <w:sz w:val="21"/>
          <w:szCs w:val="21"/>
        </w:rPr>
        <w:t>　　本通知所称创投企业，是指符合《创业投资企业管理暂行办法》（发展改革委等10部门令第39号）或者《私募投资基金监督管理暂行办法》（证监会令第105号）关于创业投资企业（基金）的有关规定，并按照上述规定完成备案且规范运作的合伙制创业投资企业（基金）。</w:t>
      </w:r>
    </w:p>
    <w:p>
      <w:pPr>
        <w:pStyle w:val="20"/>
        <w:spacing w:before="0" w:beforeAutospacing="0" w:after="0" w:afterAutospacing="0" w:line="360" w:lineRule="auto"/>
        <w:jc w:val="both"/>
        <w:rPr>
          <w:rFonts w:hint="eastAsia"/>
          <w:sz w:val="21"/>
          <w:szCs w:val="21"/>
        </w:rPr>
      </w:pPr>
      <w:r>
        <w:rPr>
          <w:rFonts w:hint="eastAsia"/>
          <w:sz w:val="21"/>
          <w:szCs w:val="21"/>
        </w:rPr>
        <w:t>　　二、创投企业选择按单一投资基金核算的，其个人合伙人从该基金应分得的股权转让所得和股息红利所得，按照20%税率计算缴纳个人所得税。</w:t>
      </w:r>
    </w:p>
    <w:p>
      <w:pPr>
        <w:pStyle w:val="20"/>
        <w:spacing w:before="0" w:beforeAutospacing="0" w:after="0" w:afterAutospacing="0" w:line="360" w:lineRule="auto"/>
        <w:jc w:val="both"/>
        <w:rPr>
          <w:rFonts w:hint="eastAsia"/>
          <w:sz w:val="21"/>
          <w:szCs w:val="21"/>
        </w:rPr>
      </w:pPr>
      <w:r>
        <w:rPr>
          <w:rFonts w:hint="eastAsia"/>
          <w:sz w:val="21"/>
          <w:szCs w:val="21"/>
        </w:rPr>
        <w:t>　　创投企业选择按年度所得整体核算的，其个人合伙人应从创投企业取得的所得，按照“经营所得”项目、5%-35%的超额累进税率计算缴纳个人所得税。</w:t>
      </w:r>
    </w:p>
    <w:p>
      <w:pPr>
        <w:pStyle w:val="20"/>
        <w:spacing w:before="0" w:beforeAutospacing="0" w:after="0" w:afterAutospacing="0" w:line="360" w:lineRule="auto"/>
        <w:jc w:val="both"/>
        <w:rPr>
          <w:rFonts w:hint="eastAsia"/>
          <w:sz w:val="21"/>
          <w:szCs w:val="21"/>
        </w:rPr>
      </w:pPr>
      <w:r>
        <w:rPr>
          <w:rFonts w:hint="eastAsia"/>
          <w:sz w:val="21"/>
          <w:szCs w:val="21"/>
        </w:rPr>
        <w:t>　　三、单一投资基金核算，是指单一投资基金（包括不以基金名义设立的创投企业）在一个纳税年度内从不同创业投资项目取得的股权转让所得和股息红利所得按下述方法分别核算纳税：</w:t>
      </w:r>
    </w:p>
    <w:p>
      <w:pPr>
        <w:pStyle w:val="20"/>
        <w:spacing w:before="0" w:beforeAutospacing="0" w:after="0" w:afterAutospacing="0" w:line="360" w:lineRule="auto"/>
        <w:jc w:val="both"/>
        <w:rPr>
          <w:rFonts w:hint="eastAsia"/>
          <w:sz w:val="21"/>
          <w:szCs w:val="21"/>
        </w:rPr>
      </w:pPr>
      <w:r>
        <w:rPr>
          <w:rFonts w:hint="eastAsia"/>
          <w:sz w:val="21"/>
          <w:szCs w:val="21"/>
        </w:rPr>
        <w:t>　　（一）股权转让所得。单个投资项目的股权转让所得，按年度股权转让收入扣除对应股权原值和转让环节合理费用后的余额计算，股权原值和转让环节合理费用的确定方法，参照股权转让所得个人所得税有关政策规定执行；单一投资基金的股权转让所得，按一个纳税年度内不同投资项目的所得和损失相互抵减后的余额计算，余额大于或等于零的，即确认为该基金的年度股权转让所得；余额小于零的，该基金年度股权转让所得按零计算且不能跨年结转。</w:t>
      </w:r>
    </w:p>
    <w:p>
      <w:pPr>
        <w:pStyle w:val="20"/>
        <w:spacing w:before="0" w:beforeAutospacing="0" w:after="0" w:afterAutospacing="0" w:line="360" w:lineRule="auto"/>
        <w:jc w:val="both"/>
        <w:rPr>
          <w:rFonts w:hint="eastAsia"/>
          <w:sz w:val="21"/>
          <w:szCs w:val="21"/>
        </w:rPr>
      </w:pPr>
      <w:r>
        <w:rPr>
          <w:rFonts w:hint="eastAsia"/>
          <w:sz w:val="21"/>
          <w:szCs w:val="21"/>
        </w:rPr>
        <w:t>　　个人合伙人按照其应从基金年度股权转让所得中分得的份额计算其应纳税额，并由创投企业在次年3月31日前代扣代缴个人所得税。如符合《财政部 税务总局关于创业投资企业和天使投资个人有关税收政策的通知》（财税〔2018〕55号）规定条件的，创投企业个人合伙人可以按照被转让项目对应投资额的70%抵扣其应从基金年度股权转让所得中分得的份额后再计算其应纳税额，当期不足抵扣的，不得向以后年度结转。</w:t>
      </w:r>
    </w:p>
    <w:p>
      <w:pPr>
        <w:pStyle w:val="20"/>
        <w:spacing w:before="0" w:beforeAutospacing="0" w:after="0" w:afterAutospacing="0" w:line="360" w:lineRule="auto"/>
        <w:jc w:val="both"/>
        <w:rPr>
          <w:rFonts w:hint="eastAsia"/>
          <w:sz w:val="21"/>
          <w:szCs w:val="21"/>
        </w:rPr>
      </w:pPr>
      <w:r>
        <w:rPr>
          <w:rFonts w:hint="eastAsia"/>
          <w:sz w:val="21"/>
          <w:szCs w:val="21"/>
        </w:rPr>
        <w:t>　　（二）股息红利所得。单一投资基金的股息红利所得，以其来源于所投资项目分配的股息、红利收入以及其他固定收益类证券等收入的全额计算。</w:t>
      </w:r>
    </w:p>
    <w:p>
      <w:pPr>
        <w:pStyle w:val="20"/>
        <w:spacing w:before="0" w:beforeAutospacing="0" w:after="0" w:afterAutospacing="0" w:line="360" w:lineRule="auto"/>
        <w:jc w:val="both"/>
        <w:rPr>
          <w:rFonts w:hint="eastAsia"/>
          <w:sz w:val="21"/>
          <w:szCs w:val="21"/>
        </w:rPr>
      </w:pPr>
      <w:r>
        <w:rPr>
          <w:rFonts w:hint="eastAsia"/>
          <w:sz w:val="21"/>
          <w:szCs w:val="21"/>
        </w:rPr>
        <w:t>　　个人合伙人按照其应从基金股息红利所得中分得的份额计算其应纳税额，并由创投企业按次代扣代缴个人所得税。</w:t>
      </w:r>
    </w:p>
    <w:p>
      <w:pPr>
        <w:pStyle w:val="20"/>
        <w:spacing w:before="0" w:beforeAutospacing="0" w:after="0" w:afterAutospacing="0" w:line="360" w:lineRule="auto"/>
        <w:jc w:val="both"/>
        <w:rPr>
          <w:rFonts w:hint="eastAsia"/>
          <w:sz w:val="21"/>
          <w:szCs w:val="21"/>
        </w:rPr>
      </w:pPr>
      <w:r>
        <w:rPr>
          <w:rFonts w:hint="eastAsia"/>
          <w:sz w:val="21"/>
          <w:szCs w:val="21"/>
        </w:rPr>
        <w:t>　　（三）除前述可以扣除的成本、费用之外，单一投资基金发生的包括投资基金管理人的管理费和业绩报酬在内的其他支出，不得在核算时扣除。</w:t>
      </w:r>
    </w:p>
    <w:p>
      <w:pPr>
        <w:pStyle w:val="20"/>
        <w:spacing w:before="0" w:beforeAutospacing="0" w:after="0" w:afterAutospacing="0" w:line="360" w:lineRule="auto"/>
        <w:jc w:val="both"/>
        <w:rPr>
          <w:rFonts w:hint="eastAsia"/>
          <w:sz w:val="21"/>
          <w:szCs w:val="21"/>
        </w:rPr>
      </w:pPr>
      <w:r>
        <w:rPr>
          <w:rFonts w:hint="eastAsia"/>
          <w:sz w:val="21"/>
          <w:szCs w:val="21"/>
        </w:rPr>
        <w:t>　　本条规定的单一投资基金核算方法仅适用于计算创投企业个人合伙人的应纳税额。</w:t>
      </w:r>
    </w:p>
    <w:p>
      <w:pPr>
        <w:pStyle w:val="20"/>
        <w:spacing w:before="0" w:beforeAutospacing="0" w:after="0" w:afterAutospacing="0" w:line="360" w:lineRule="auto"/>
        <w:jc w:val="both"/>
        <w:rPr>
          <w:rFonts w:hint="eastAsia"/>
          <w:sz w:val="21"/>
          <w:szCs w:val="21"/>
        </w:rPr>
      </w:pPr>
      <w:r>
        <w:rPr>
          <w:rFonts w:hint="eastAsia"/>
          <w:sz w:val="21"/>
          <w:szCs w:val="21"/>
        </w:rPr>
        <w:t>　　四、创投企业年度所得整体核算，是指将创投企业以每一纳税年度的收入总额减除成本、费用以及损失后，计算应分配给个人合伙人的所得。如符合《财政部 税务总局关于创业投资企业和天使投资个人有关税收政策的通知》（财税〔2018〕55号）规定条件的，创投企业个人合伙人可以按照被转让项目对应投资额的70%抵扣其可以从创投企业应分得的经营所得后再计算其应纳税额。年度核算亏损的，准予按有关规定向以后年度结转。</w:t>
      </w:r>
    </w:p>
    <w:p>
      <w:pPr>
        <w:pStyle w:val="20"/>
        <w:spacing w:before="0" w:beforeAutospacing="0" w:after="0" w:afterAutospacing="0" w:line="360" w:lineRule="auto"/>
        <w:jc w:val="both"/>
        <w:rPr>
          <w:rFonts w:hint="eastAsia"/>
          <w:sz w:val="21"/>
          <w:szCs w:val="21"/>
        </w:rPr>
      </w:pPr>
      <w:r>
        <w:rPr>
          <w:rFonts w:hint="eastAsia"/>
          <w:sz w:val="21"/>
          <w:szCs w:val="21"/>
        </w:rPr>
        <w:t>　　按照“经营所得”项目计税的个人合伙人，没有综合所得的，可依法减除基本减除费用、专项扣除、专项附加扣除以及国务院确定的其他扣除。从多处取得经营所得的，应汇总计算个人所得税，只减除一次上述费用和扣除。</w:t>
      </w:r>
    </w:p>
    <w:p>
      <w:pPr>
        <w:pStyle w:val="20"/>
        <w:spacing w:before="0" w:beforeAutospacing="0" w:after="0" w:afterAutospacing="0" w:line="360" w:lineRule="auto"/>
        <w:jc w:val="both"/>
        <w:rPr>
          <w:rFonts w:hint="eastAsia"/>
          <w:sz w:val="21"/>
          <w:szCs w:val="21"/>
        </w:rPr>
      </w:pPr>
      <w:r>
        <w:rPr>
          <w:rFonts w:hint="eastAsia"/>
          <w:sz w:val="21"/>
          <w:szCs w:val="21"/>
        </w:rPr>
        <w:t>　　五、创投企业选择按单一投资基金核算或按创投企业年度所得整体核算后，3年内不能变更。</w:t>
      </w:r>
    </w:p>
    <w:p>
      <w:pPr>
        <w:pStyle w:val="20"/>
        <w:spacing w:before="0" w:beforeAutospacing="0" w:after="0" w:afterAutospacing="0" w:line="360" w:lineRule="auto"/>
        <w:jc w:val="both"/>
        <w:rPr>
          <w:rFonts w:hint="eastAsia"/>
          <w:sz w:val="21"/>
          <w:szCs w:val="21"/>
        </w:rPr>
      </w:pPr>
      <w:r>
        <w:rPr>
          <w:rFonts w:hint="eastAsia"/>
          <w:sz w:val="21"/>
          <w:szCs w:val="21"/>
        </w:rPr>
        <w:t>　　六、创投企业选择按单一投资基金核算的，应当在按照本通知第一条规定完成备案的30日内，向主管税务机关进行核算方式备案；未按规定备案的，视同选择按创投企业年度所得整体核算。2019年1月1日前已经完成备案的创投企业，选择按单一投资基金核算的，应当在2019年3月1日前向主管税务机关进行核算方式备案。创投企业选择一种核算方式满3年需要调整的，应当在满3年的次年1月31日前，重新向主管税务机关备案。</w:t>
      </w:r>
    </w:p>
    <w:p>
      <w:pPr>
        <w:pStyle w:val="20"/>
        <w:spacing w:before="0" w:beforeAutospacing="0" w:after="0" w:afterAutospacing="0" w:line="360" w:lineRule="auto"/>
        <w:jc w:val="both"/>
        <w:rPr>
          <w:rFonts w:hint="eastAsia"/>
          <w:sz w:val="21"/>
          <w:szCs w:val="21"/>
        </w:rPr>
      </w:pPr>
      <w:r>
        <w:rPr>
          <w:rFonts w:hint="eastAsia"/>
          <w:sz w:val="21"/>
          <w:szCs w:val="21"/>
        </w:rPr>
        <w:t>　　七、税务部门依法开展税收征管和后续管理工作，可转请发展改革部门、证券监督管理部门对创投企业及其所投项目是否符合有关规定进行核查，发展改革部门、证券监督管理部门应当予以配合。</w:t>
      </w:r>
    </w:p>
    <w:p>
      <w:pPr>
        <w:pStyle w:val="20"/>
        <w:spacing w:before="0" w:beforeAutospacing="0" w:after="0" w:afterAutospacing="0" w:line="360" w:lineRule="auto"/>
        <w:jc w:val="both"/>
        <w:rPr>
          <w:rFonts w:hint="eastAsia"/>
          <w:sz w:val="21"/>
          <w:szCs w:val="21"/>
        </w:rPr>
      </w:pPr>
      <w:r>
        <w:rPr>
          <w:rFonts w:hint="eastAsia"/>
          <w:sz w:val="21"/>
          <w:szCs w:val="21"/>
        </w:rPr>
        <w:t>　　八、本通知执行期限为2019年1月1日起至2023年12月31日止。</w:t>
      </w:r>
    </w:p>
    <w:p>
      <w:pPr>
        <w:pStyle w:val="20"/>
        <w:spacing w:before="0" w:beforeAutospacing="0" w:after="0" w:afterAutospacing="0" w:line="360" w:lineRule="auto"/>
        <w:jc w:val="right"/>
        <w:rPr>
          <w:rFonts w:hint="eastAsia"/>
          <w:sz w:val="21"/>
          <w:szCs w:val="21"/>
        </w:rPr>
      </w:pPr>
      <w:r>
        <w:rPr>
          <w:rFonts w:hint="eastAsia"/>
          <w:sz w:val="21"/>
          <w:szCs w:val="21"/>
        </w:rPr>
        <w:t>财政部 税务总局 发展改革委 证监会</w:t>
      </w:r>
    </w:p>
    <w:p>
      <w:pPr>
        <w:pStyle w:val="20"/>
        <w:spacing w:before="0" w:beforeAutospacing="0" w:after="0" w:afterAutospacing="0" w:line="360" w:lineRule="auto"/>
        <w:jc w:val="right"/>
        <w:rPr>
          <w:rFonts w:hint="eastAsia"/>
          <w:sz w:val="21"/>
          <w:szCs w:val="21"/>
        </w:rPr>
      </w:pPr>
      <w:r>
        <w:rPr>
          <w:rFonts w:hint="eastAsia"/>
          <w:sz w:val="21"/>
          <w:szCs w:val="21"/>
        </w:rPr>
        <w:t>2019年1月10日</w:t>
      </w:r>
    </w:p>
    <w:p>
      <w:pPr>
        <w:pStyle w:val="20"/>
        <w:spacing w:before="0" w:beforeAutospacing="0" w:after="0" w:afterAutospacing="0" w:line="360" w:lineRule="auto"/>
        <w:jc w:val="right"/>
        <w:rPr>
          <w:rFonts w:hint="eastAsia"/>
          <w:sz w:val="21"/>
          <w:szCs w:val="21"/>
        </w:rPr>
      </w:pPr>
    </w:p>
    <w:p>
      <w:pPr>
        <w:pStyle w:val="20"/>
        <w:spacing w:before="0" w:beforeAutospacing="0" w:after="0" w:afterAutospacing="0" w:line="360" w:lineRule="auto"/>
        <w:jc w:val="right"/>
        <w:rPr>
          <w:rFonts w:hint="eastAsia"/>
          <w:sz w:val="21"/>
          <w:szCs w:val="21"/>
        </w:rPr>
      </w:pPr>
    </w:p>
    <w:p>
      <w:pPr>
        <w:pStyle w:val="20"/>
        <w:spacing w:before="0" w:beforeAutospacing="0" w:after="0" w:afterAutospacing="0" w:line="360" w:lineRule="auto"/>
        <w:jc w:val="right"/>
        <w:rPr>
          <w:rFonts w:hint="eastAsia"/>
          <w:sz w:val="21"/>
          <w:szCs w:val="21"/>
        </w:rPr>
      </w:pPr>
    </w:p>
    <w:p>
      <w:pPr>
        <w:pStyle w:val="20"/>
        <w:spacing w:before="0" w:beforeAutospacing="0" w:after="0" w:afterAutospacing="0" w:line="360" w:lineRule="auto"/>
        <w:jc w:val="right"/>
        <w:rPr>
          <w:rFonts w:hint="eastAsia"/>
          <w:sz w:val="21"/>
          <w:szCs w:val="21"/>
        </w:rPr>
      </w:pPr>
    </w:p>
    <w:p>
      <w:pPr>
        <w:keepNext w:val="0"/>
        <w:keepLines w:val="0"/>
        <w:widowControl/>
        <w:suppressLineNumbers w:val="0"/>
        <w:spacing w:line="432" w:lineRule="auto"/>
        <w:jc w:val="left"/>
        <w:rPr>
          <w:rFonts w:hint="eastAsia" w:ascii="宋体" w:hAnsi="宋体" w:eastAsia="宋体" w:cs="宋体"/>
          <w:vanish/>
          <w:sz w:val="19"/>
          <w:szCs w:val="19"/>
        </w:rPr>
      </w:pPr>
      <w:r>
        <w:rPr>
          <w:rFonts w:hint="eastAsia" w:ascii="宋体" w:hAnsi="宋体" w:eastAsia="宋体" w:cs="宋体"/>
          <w:vanish/>
          <w:kern w:val="0"/>
          <w:sz w:val="19"/>
          <w:szCs w:val="19"/>
          <w:lang w:val="en-US" w:eastAsia="zh-CN" w:bidi="ar"/>
        </w:rPr>
        <w:t xml:space="preserve">  </w:t>
      </w:r>
    </w:p>
    <w:p>
      <w:pPr>
        <w:keepNext w:val="0"/>
        <w:keepLines w:val="0"/>
        <w:widowControl/>
        <w:suppressLineNumbers w:val="0"/>
        <w:tabs>
          <w:tab w:val="left" w:pos="807"/>
        </w:tabs>
        <w:spacing w:line="432" w:lineRule="auto"/>
        <w:jc w:val="left"/>
        <w:rPr>
          <w:rFonts w:hint="eastAsia" w:ascii="宋体" w:hAnsi="宋体" w:eastAsia="宋体" w:cs="宋体"/>
          <w:vanish/>
          <w:sz w:val="19"/>
          <w:szCs w:val="19"/>
        </w:rPr>
      </w:pPr>
      <w:r>
        <w:rPr>
          <w:rFonts w:hint="eastAsia" w:ascii="宋体" w:hAnsi="宋体" w:eastAsia="宋体" w:cs="宋体"/>
          <w:vanish/>
          <w:sz w:val="19"/>
          <w:szCs w:val="19"/>
        </w:rPr>
        <w:t>附件下载:</w:t>
      </w:r>
      <w:r>
        <w:rPr>
          <w:vanish/>
        </w:rPr>
        <w:tab/>
      </w:r>
      <w:r>
        <w:rPr>
          <w:rFonts w:hint="eastAsia" w:ascii="宋体" w:hAnsi="宋体" w:eastAsia="宋体" w:cs="宋体"/>
          <w:vanish/>
          <w:kern w:val="0"/>
          <w:sz w:val="19"/>
          <w:szCs w:val="19"/>
          <w:lang w:val="en-US" w:eastAsia="zh-CN" w:bidi="ar"/>
        </w:rPr>
        <w:t xml:space="preserve">  </w:t>
      </w:r>
    </w:p>
    <w:p>
      <w:pPr>
        <w:jc w:val="center"/>
        <w:rPr>
          <w:rFonts w:hint="eastAsia" w:ascii="宋体" w:hAnsi="宋体" w:eastAsia="宋体" w:cs="宋体"/>
          <w:sz w:val="14"/>
          <w:szCs w:val="14"/>
        </w:rPr>
      </w:pPr>
    </w:p>
    <w:p>
      <w:pPr>
        <w:keepNext w:val="0"/>
        <w:keepLines w:val="0"/>
        <w:widowControl/>
        <w:suppressLineNumbers w:val="0"/>
        <w:spacing w:line="432" w:lineRule="auto"/>
        <w:jc w:val="center"/>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市场监管总局 人力资源社会保障部商务部 海关总署 税务总局关于推进企业注销便利化工作的通知</w:t>
      </w:r>
    </w:p>
    <w:p>
      <w:pPr>
        <w:keepNext w:val="0"/>
        <w:keepLines w:val="0"/>
        <w:widowControl/>
        <w:suppressLineNumbers w:val="0"/>
        <w:spacing w:line="432" w:lineRule="auto"/>
        <w:jc w:val="center"/>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国市监注〔2019〕30号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sz w:val="24"/>
          <w:szCs w:val="24"/>
        </w:rPr>
      </w:pPr>
      <w:r>
        <w:rPr>
          <w:rFonts w:hint="eastAsia" w:ascii="宋体" w:hAnsi="宋体" w:eastAsia="宋体" w:cs="宋体"/>
          <w:i w:val="0"/>
          <w:caps w:val="0"/>
          <w:color w:val="333333"/>
          <w:spacing w:val="0"/>
          <w:kern w:val="0"/>
          <w:sz w:val="24"/>
          <w:szCs w:val="24"/>
          <w:shd w:val="clear" w:fill="FFFFFF"/>
          <w:lang w:val="en-US" w:eastAsia="zh-CN" w:bidi="ar"/>
        </w:rPr>
        <w:t> </w:t>
      </w:r>
    </w:p>
    <w:p>
      <w:pPr>
        <w:pStyle w:val="20"/>
        <w:spacing w:before="0" w:beforeAutospacing="0" w:after="0" w:afterAutospacing="0" w:line="360" w:lineRule="auto"/>
        <w:jc w:val="both"/>
        <w:rPr>
          <w:rFonts w:hint="eastAsia"/>
          <w:sz w:val="21"/>
          <w:szCs w:val="21"/>
        </w:rPr>
      </w:pPr>
      <w:r>
        <w:rPr>
          <w:rFonts w:hint="eastAsia"/>
          <w:sz w:val="21"/>
          <w:szCs w:val="21"/>
          <w:lang w:val="en-US" w:eastAsia="zh-CN"/>
        </w:rPr>
        <w:t>各省、自治区、直辖市人民政府： </w:t>
      </w:r>
    </w:p>
    <w:p>
      <w:pPr>
        <w:pStyle w:val="20"/>
        <w:spacing w:before="0" w:beforeAutospacing="0" w:after="0" w:afterAutospacing="0" w:line="360" w:lineRule="auto"/>
        <w:jc w:val="both"/>
        <w:rPr>
          <w:rFonts w:hint="eastAsia"/>
          <w:sz w:val="21"/>
          <w:szCs w:val="21"/>
        </w:rPr>
      </w:pPr>
      <w:r>
        <w:rPr>
          <w:rFonts w:hint="eastAsia"/>
          <w:sz w:val="21"/>
          <w:szCs w:val="21"/>
          <w:lang w:val="en-US" w:eastAsia="zh-CN"/>
        </w:rPr>
        <w:t>　　为全面贯彻落实党中央、国务院关于深化“放管服”改革、转变政府职能的决策部署，进一步推进商事制度改革，解决企业“注销难”问题，为企业退出市场提供更加便利化服务，经国务院同意，现就有关事项通知如下： </w:t>
      </w:r>
    </w:p>
    <w:p>
      <w:pPr>
        <w:pStyle w:val="20"/>
        <w:spacing w:before="0" w:beforeAutospacing="0" w:after="0" w:afterAutospacing="0" w:line="360" w:lineRule="auto"/>
        <w:jc w:val="both"/>
        <w:rPr>
          <w:rFonts w:hint="eastAsia" w:ascii="黑体" w:hAnsi="黑体" w:eastAsia="黑体" w:cs="黑体"/>
          <w:sz w:val="21"/>
          <w:szCs w:val="21"/>
        </w:rPr>
      </w:pPr>
      <w:r>
        <w:rPr>
          <w:rFonts w:hint="eastAsia" w:ascii="黑体" w:hAnsi="黑体" w:eastAsia="黑体" w:cs="黑体"/>
          <w:sz w:val="21"/>
          <w:szCs w:val="21"/>
          <w:lang w:val="en-US" w:eastAsia="zh-CN"/>
        </w:rPr>
        <w:t>　　一、总体要求和工作目标 </w:t>
      </w:r>
    </w:p>
    <w:p>
      <w:pPr>
        <w:pStyle w:val="20"/>
        <w:spacing w:before="0" w:beforeAutospacing="0" w:after="0" w:afterAutospacing="0" w:line="360" w:lineRule="auto"/>
        <w:jc w:val="both"/>
        <w:rPr>
          <w:rFonts w:hint="eastAsia"/>
          <w:sz w:val="21"/>
          <w:szCs w:val="21"/>
        </w:rPr>
      </w:pPr>
      <w:r>
        <w:rPr>
          <w:rFonts w:hint="eastAsia"/>
          <w:sz w:val="21"/>
          <w:szCs w:val="21"/>
          <w:lang w:val="en-US" w:eastAsia="zh-CN"/>
        </w:rPr>
        <w:t>　　总体要求。聚焦企业注销中的“难点”“痛点”“堵点”，以问题为导向，在保障市场交易秩序和交易安全的基础上，进一步推进企业注销便利化，提高行政服务效率，强化企业退出的主体责任，增强企业办事的透明度和可预期性，提升企业办事体验，促进企业“新陈代谢”、结构优化。 </w:t>
      </w:r>
    </w:p>
    <w:p>
      <w:pPr>
        <w:pStyle w:val="20"/>
        <w:spacing w:before="0" w:beforeAutospacing="0" w:after="0" w:afterAutospacing="0" w:line="360" w:lineRule="auto"/>
        <w:jc w:val="both"/>
        <w:rPr>
          <w:rFonts w:hint="eastAsia"/>
          <w:sz w:val="21"/>
          <w:szCs w:val="21"/>
        </w:rPr>
      </w:pPr>
      <w:r>
        <w:rPr>
          <w:rFonts w:hint="eastAsia"/>
          <w:sz w:val="21"/>
          <w:szCs w:val="21"/>
          <w:lang w:val="en-US" w:eastAsia="zh-CN"/>
        </w:rPr>
        <w:t>　　工作目标。改革和完善企业注销制度，进一步精简文书材料、优化流程，强化部门信息共享和业务协同，建立企业注销网上服务专区，实现企业注销“一网”服务，各有关部门“信息共享、同步指引”，企业“一网”获知各环节流程、进度和结果，为守法守信企业提供更加便捷高效的行政服务，完善对违法失信企业的惩戒约束，营造更加公开、透明、便捷的市场环境。在2019年3月1日前，各有关部门完成精简文书和优化流程的工作目标，提高企业注销效率；在2019年9月1日前，各地完成搭建企业注销网上服务专区的工作目标，实现企业注销“一网”服务。 </w:t>
      </w:r>
    </w:p>
    <w:p>
      <w:pPr>
        <w:pStyle w:val="20"/>
        <w:spacing w:before="0" w:beforeAutospacing="0" w:after="0" w:afterAutospacing="0" w:line="360" w:lineRule="auto"/>
        <w:jc w:val="both"/>
        <w:rPr>
          <w:rFonts w:hint="eastAsia" w:ascii="黑体" w:hAnsi="黑体" w:eastAsia="黑体" w:cs="黑体"/>
          <w:sz w:val="21"/>
          <w:szCs w:val="21"/>
        </w:rPr>
      </w:pPr>
      <w:r>
        <w:rPr>
          <w:rFonts w:hint="eastAsia" w:ascii="黑体" w:hAnsi="黑体" w:eastAsia="黑体" w:cs="黑体"/>
          <w:sz w:val="21"/>
          <w:szCs w:val="21"/>
          <w:lang w:val="en-US" w:eastAsia="zh-CN"/>
        </w:rPr>
        <w:t>　　二、主要任务和措施 </w:t>
      </w:r>
    </w:p>
    <w:p>
      <w:pPr>
        <w:pStyle w:val="20"/>
        <w:spacing w:before="0" w:beforeAutospacing="0" w:after="0" w:afterAutospacing="0" w:line="360" w:lineRule="auto"/>
        <w:jc w:val="both"/>
        <w:rPr>
          <w:rFonts w:hint="eastAsia"/>
          <w:sz w:val="21"/>
          <w:szCs w:val="21"/>
        </w:rPr>
      </w:pPr>
      <w:r>
        <w:rPr>
          <w:rFonts w:hint="eastAsia"/>
          <w:sz w:val="21"/>
          <w:szCs w:val="21"/>
          <w:lang w:val="en-US" w:eastAsia="zh-CN"/>
        </w:rPr>
        <w:t>　　（一）加强信息共享和业务协同，推行企业注销“一网”服务。各地要依托一体化政务服务平台，建立企业注销网上服务专区，实行各有关部门注销业务“信息共享、同步指引”，实现企业注销“一网”服务。企业通过国家企业信用信息公示系统对外发布债权人公告后，市场监管部门将企业开始清算的信息推送至相关部门，各有关部门对企业注销进行同步指引，将各自办理注销业务的流程、方式和结果通过平台告知企业，让企业能够“一网”获知各环节流程、进度和结果, 提升企业办事体验。各地要通过企业注销网上服务专区全面公开各部门的注销流程、条件时限、材料规范、办事地点等信息，提高政策的透明度和可预期性。（市场监管总局牵头，各地区、各有关部门按职责分工负责） </w:t>
      </w:r>
    </w:p>
    <w:p>
      <w:pPr>
        <w:pStyle w:val="20"/>
        <w:spacing w:before="0" w:beforeAutospacing="0" w:after="0" w:afterAutospacing="0" w:line="360" w:lineRule="auto"/>
        <w:jc w:val="both"/>
        <w:rPr>
          <w:rFonts w:hint="eastAsia"/>
          <w:sz w:val="21"/>
          <w:szCs w:val="21"/>
        </w:rPr>
      </w:pPr>
      <w:r>
        <w:rPr>
          <w:rFonts w:hint="eastAsia"/>
          <w:sz w:val="21"/>
          <w:szCs w:val="21"/>
          <w:lang w:val="en-US" w:eastAsia="zh-CN"/>
        </w:rPr>
        <w:t>　　（二）改革企业登记注销制度，简化企业登记程序和材料。修改《公司登记管理条例》等行政法规及其配套规定，优化普通注销登记制度。取消企业向公司登记机关备案清算组的程序，改为企业通过国家企业信用信息公示系统向社会免费公示清算组信息，企业无需再提交清算组备案的4份材料；降低企业办事成本，将通过报纸公告的程序调整为允许企业通过国家企业信用信息公示系统免费公告；明确企业注销实行形式审查，办理注销登记时不再提交《备案通知书》、报纸样张等5份材料，仅提交《清算报告》等4份必需要件（各部门材料要求见附1）。继续完善企业简易注销登记制度，试点将非上市股份有限公司和农民专业合作社纳入简易注销适用范围、将公告时间由45天压缩至20天、建立容错机制，对于被终止简易注销登记的企业，允许其符合条件后再次依程序申请简易注销。（市场监管总局负责） </w:t>
      </w:r>
    </w:p>
    <w:p>
      <w:pPr>
        <w:pStyle w:val="20"/>
        <w:spacing w:before="0" w:beforeAutospacing="0" w:after="0" w:afterAutospacing="0" w:line="360" w:lineRule="auto"/>
        <w:jc w:val="both"/>
        <w:rPr>
          <w:rFonts w:hint="eastAsia"/>
          <w:sz w:val="21"/>
          <w:szCs w:val="21"/>
        </w:rPr>
      </w:pPr>
      <w:r>
        <w:rPr>
          <w:rFonts w:hint="eastAsia"/>
          <w:sz w:val="21"/>
          <w:szCs w:val="21"/>
          <w:lang w:val="en-US" w:eastAsia="zh-CN"/>
        </w:rPr>
        <w:t>　　（三）推行税务注销分类处理，提高清税速度。税务部门实行清税手续免办服务，对未办理过涉税事宜，或者办理过涉税事宜但未领用发票、无欠税（滞纳金）及罚款纳税人，免予到税务机关办理清税手续，直接向市场监管部门申请简易注销。优化税务注销即办服务，对未处于税务检查状态、无欠税（滞纳金）及罚款、已缴销增值税专用发票及税控专用设备的纳税信用级别A级和B级的纳税人、控股母公司纳税信用级别为A级的M级纳税人、省级人民政府引进人才等创办的企业、未纳入纳税信用级别评价的定期定额个体工商户以及未达到增值税纳税起征点的纳税人，采取“承诺制”容缺办理。整合税务注销办理事项，开设“注销专窗”，强化“首问负责制”，根据纳税人具体情况一次性告知其全部应办结事项、报送材料，实施“套餐式”服务，提升纳税人实际办税感受。纳税人完成税务注销后，税务部门将清税信息推送给市场监管部门，减少资料报送，加快注销办理速度。（税务总局负责） </w:t>
      </w:r>
    </w:p>
    <w:p>
      <w:pPr>
        <w:pStyle w:val="20"/>
        <w:spacing w:before="0" w:beforeAutospacing="0" w:after="0" w:afterAutospacing="0" w:line="360" w:lineRule="auto"/>
        <w:jc w:val="both"/>
        <w:rPr>
          <w:rFonts w:hint="eastAsia"/>
          <w:sz w:val="21"/>
          <w:szCs w:val="21"/>
        </w:rPr>
      </w:pPr>
      <w:r>
        <w:rPr>
          <w:rFonts w:hint="eastAsia"/>
          <w:sz w:val="21"/>
          <w:szCs w:val="21"/>
          <w:lang w:val="en-US" w:eastAsia="zh-CN"/>
        </w:rPr>
        <w:t>　　（四）优化社保、商务、海关等登记注销，降低企业办事成本。人力资源社会保障部门根据一体化政务服务平台共享的企业注销信息，对没有社保欠费的企业同步进行社保登记注销。商务部门在办理涉及外商投资企业提前解散相关业务时，进一步优化流程，精简材料。经办结各项海关手续后，海关依法主动注销备案登记的无需申请人提供材料，申请人申请注销海关备案登记仅需一份注销申请书。（人力资源社会保障部、商务部、海关总署等部门按职责分工负责） </w:t>
      </w:r>
    </w:p>
    <w:p>
      <w:pPr>
        <w:pStyle w:val="20"/>
        <w:spacing w:before="0" w:beforeAutospacing="0" w:after="0" w:afterAutospacing="0" w:line="360" w:lineRule="auto"/>
        <w:jc w:val="both"/>
        <w:rPr>
          <w:rFonts w:hint="eastAsia"/>
          <w:sz w:val="21"/>
          <w:szCs w:val="21"/>
        </w:rPr>
      </w:pPr>
      <w:r>
        <w:rPr>
          <w:rFonts w:hint="eastAsia"/>
          <w:sz w:val="21"/>
          <w:szCs w:val="21"/>
          <w:lang w:val="en-US" w:eastAsia="zh-CN"/>
        </w:rPr>
        <w:t>　　（五）针对特殊问题制定方案，加大行政指导力度。各地要按照《企业注销指引》（附件2）的规定和说明，切实解决企业在注销过程中遇到的因股东失联、营业执照遗失等无法办理注销业务的特殊情形，解决企业注销面临的各种实际困难。（各地区、各有关部门按职责分工负责） </w:t>
      </w:r>
    </w:p>
    <w:p>
      <w:pPr>
        <w:pStyle w:val="20"/>
        <w:spacing w:before="0" w:beforeAutospacing="0" w:after="0" w:afterAutospacing="0" w:line="360" w:lineRule="auto"/>
        <w:jc w:val="both"/>
        <w:rPr>
          <w:rFonts w:hint="eastAsia"/>
          <w:sz w:val="21"/>
          <w:szCs w:val="21"/>
        </w:rPr>
      </w:pPr>
      <w:r>
        <w:rPr>
          <w:rFonts w:hint="eastAsia"/>
          <w:sz w:val="21"/>
          <w:szCs w:val="21"/>
          <w:lang w:val="en-US" w:eastAsia="zh-CN"/>
        </w:rPr>
        <w:t>　　（六）强化信用管理，完善联合惩戒制度。严格企业主体责任，依法对失信市场主体实施部门联合惩戒，防止恶意逃废债。对企业在注销登记中隐瞒真实情况、弄虚作假的，市场监管部门依法将其列入严重违法失信企业名单，通过国家企业信用信息公示系统公示。对以“承诺制”容缺方式办理税务注销、但未按承诺时限办结相关涉税事项的企业，税务部门将该失信行为记入其法定代表人、财务负责人的个人信用记录。加快探索建立强制出清制度，完善企业撤销登记程序。（市场监管总局牵头，各有关部门按职责分工负责） </w:t>
      </w:r>
    </w:p>
    <w:p>
      <w:pPr>
        <w:pStyle w:val="20"/>
        <w:spacing w:before="0" w:beforeAutospacing="0" w:after="0" w:afterAutospacing="0" w:line="360" w:lineRule="auto"/>
        <w:jc w:val="both"/>
        <w:rPr>
          <w:rFonts w:hint="eastAsia" w:ascii="黑体" w:hAnsi="黑体" w:eastAsia="黑体" w:cs="黑体"/>
          <w:sz w:val="21"/>
          <w:szCs w:val="21"/>
        </w:rPr>
      </w:pPr>
      <w:r>
        <w:rPr>
          <w:rFonts w:hint="eastAsia" w:ascii="黑体" w:hAnsi="黑体" w:eastAsia="黑体" w:cs="黑体"/>
          <w:sz w:val="21"/>
          <w:szCs w:val="21"/>
          <w:lang w:val="en-US" w:eastAsia="zh-CN"/>
        </w:rPr>
        <w:t>　　三、抓好相关责任落实 </w:t>
      </w:r>
    </w:p>
    <w:p>
      <w:pPr>
        <w:pStyle w:val="20"/>
        <w:spacing w:before="0" w:beforeAutospacing="0" w:after="0" w:afterAutospacing="0" w:line="360" w:lineRule="auto"/>
        <w:jc w:val="both"/>
        <w:rPr>
          <w:rFonts w:hint="eastAsia"/>
          <w:sz w:val="21"/>
          <w:szCs w:val="21"/>
        </w:rPr>
      </w:pPr>
      <w:r>
        <w:rPr>
          <w:rFonts w:hint="eastAsia"/>
          <w:sz w:val="21"/>
          <w:szCs w:val="21"/>
          <w:lang w:val="en-US" w:eastAsia="zh-CN"/>
        </w:rPr>
        <w:t>　　（一）强化责任落实。地方人民政府要切实理顺工作机制，协同统筹推进相关信息系统建设，确保完成企业注销工作目标。市场监管部门牵头推进企业注销便利化工作，推动相关行政法规的修订，优化企业注销网上服务专区；税务部门负责提升企业清缴税款办理体验。 </w:t>
      </w:r>
    </w:p>
    <w:p>
      <w:pPr>
        <w:pStyle w:val="20"/>
        <w:spacing w:before="0" w:beforeAutospacing="0" w:after="0" w:afterAutospacing="0" w:line="360" w:lineRule="auto"/>
        <w:jc w:val="both"/>
        <w:rPr>
          <w:rFonts w:hint="eastAsia"/>
          <w:sz w:val="21"/>
          <w:szCs w:val="21"/>
        </w:rPr>
      </w:pPr>
      <w:r>
        <w:rPr>
          <w:rFonts w:hint="eastAsia"/>
          <w:sz w:val="21"/>
          <w:szCs w:val="21"/>
          <w:lang w:val="en-US" w:eastAsia="zh-CN"/>
        </w:rPr>
        <w:t>　　（二）加强宣传培训。各地区、各有关部门要加大对企业注销政策的宣传解读力度，加强业务培训，确保相关人员全面了解各项具体措施，提升企业注销服务水平，切实解决企业在注销中遇到的实际困难。要加强对企业的法律法规宣传，让企业明确知晓在注销退市时应当履行的法律义务和社会责任。 </w:t>
      </w:r>
    </w:p>
    <w:p>
      <w:pPr>
        <w:pStyle w:val="20"/>
        <w:spacing w:before="0" w:beforeAutospacing="0" w:after="0" w:afterAutospacing="0" w:line="360" w:lineRule="auto"/>
        <w:jc w:val="both"/>
        <w:rPr>
          <w:rFonts w:hint="eastAsia"/>
          <w:sz w:val="21"/>
          <w:szCs w:val="21"/>
        </w:rPr>
      </w:pPr>
      <w:r>
        <w:rPr>
          <w:rFonts w:hint="eastAsia"/>
          <w:sz w:val="21"/>
          <w:szCs w:val="21"/>
          <w:lang w:val="en-US" w:eastAsia="zh-CN"/>
        </w:rPr>
        <w:t>　　（三）抓好督促落实。市场监管总局要会同相关部门加强对企业注销便利化工作的指导协调，及时通报有关情况。地方人民政府要明确任务、细化措施，共同抓好企业注销工作督促落实。 </w:t>
      </w:r>
    </w:p>
    <w:p>
      <w:pPr>
        <w:pStyle w:val="20"/>
        <w:spacing w:before="0" w:beforeAutospacing="0" w:after="0" w:afterAutospacing="0" w:line="360" w:lineRule="auto"/>
        <w:jc w:val="both"/>
        <w:rPr>
          <w:rFonts w:hint="eastAsia"/>
          <w:sz w:val="21"/>
          <w:szCs w:val="21"/>
        </w:rPr>
      </w:pPr>
      <w:r>
        <w:rPr>
          <w:rFonts w:hint="eastAsia"/>
          <w:sz w:val="21"/>
          <w:szCs w:val="21"/>
          <w:lang w:val="en-US" w:eastAsia="zh-CN"/>
        </w:rPr>
        <w:t>　　　　 </w:t>
      </w:r>
    </w:p>
    <w:p>
      <w:pPr>
        <w:pStyle w:val="20"/>
        <w:spacing w:before="0" w:beforeAutospacing="0" w:after="0" w:afterAutospacing="0" w:line="360" w:lineRule="auto"/>
        <w:jc w:val="both"/>
        <w:rPr>
          <w:rFonts w:hint="eastAsia"/>
          <w:sz w:val="21"/>
          <w:szCs w:val="21"/>
        </w:rPr>
      </w:pPr>
      <w:r>
        <w:rPr>
          <w:rFonts w:hint="eastAsia"/>
          <w:sz w:val="21"/>
          <w:szCs w:val="21"/>
          <w:lang w:val="en-US" w:eastAsia="zh-CN"/>
        </w:rPr>
        <w:t>　　附件：1.企业办理注销业务提交材料规范 </w:t>
      </w:r>
    </w:p>
    <w:p>
      <w:pPr>
        <w:pStyle w:val="20"/>
        <w:spacing w:before="0" w:beforeAutospacing="0" w:after="0" w:afterAutospacing="0" w:line="360" w:lineRule="auto"/>
        <w:jc w:val="both"/>
        <w:rPr>
          <w:rFonts w:hint="eastAsia"/>
          <w:sz w:val="21"/>
          <w:szCs w:val="21"/>
        </w:rPr>
      </w:pPr>
      <w:r>
        <w:rPr>
          <w:rFonts w:hint="eastAsia"/>
          <w:sz w:val="21"/>
          <w:szCs w:val="21"/>
          <w:lang w:val="en-US" w:eastAsia="zh-CN"/>
        </w:rPr>
        <w:t>　　　　　2.企业注销指引　　 </w:t>
      </w:r>
    </w:p>
    <w:p>
      <w:pPr>
        <w:pStyle w:val="20"/>
        <w:spacing w:before="0" w:beforeAutospacing="0" w:after="0" w:afterAutospacing="0" w:line="360" w:lineRule="auto"/>
        <w:jc w:val="both"/>
        <w:rPr>
          <w:rFonts w:hint="eastAsia"/>
          <w:sz w:val="21"/>
          <w:szCs w:val="21"/>
        </w:rPr>
      </w:pPr>
      <w:r>
        <w:rPr>
          <w:rFonts w:hint="eastAsia"/>
          <w:sz w:val="21"/>
          <w:szCs w:val="21"/>
          <w:lang w:val="en-US" w:eastAsia="zh-CN"/>
        </w:rPr>
        <w:t>　　　　 </w:t>
      </w:r>
    </w:p>
    <w:p>
      <w:pPr>
        <w:pStyle w:val="20"/>
        <w:spacing w:before="0" w:beforeAutospacing="0" w:after="0" w:afterAutospacing="0" w:line="360" w:lineRule="auto"/>
        <w:jc w:val="right"/>
        <w:rPr>
          <w:rFonts w:hint="eastAsia"/>
          <w:sz w:val="21"/>
          <w:szCs w:val="21"/>
        </w:rPr>
      </w:pPr>
      <w:r>
        <w:rPr>
          <w:rFonts w:hint="eastAsia"/>
          <w:sz w:val="21"/>
          <w:szCs w:val="21"/>
          <w:lang w:val="en-US" w:eastAsia="zh-CN"/>
        </w:rPr>
        <w:t>市场监管总局 人力资源社会保障部 商务部</w:t>
      </w:r>
    </w:p>
    <w:p>
      <w:pPr>
        <w:pStyle w:val="20"/>
        <w:spacing w:before="0" w:beforeAutospacing="0" w:after="0" w:afterAutospacing="0" w:line="360" w:lineRule="auto"/>
        <w:jc w:val="right"/>
        <w:rPr>
          <w:rFonts w:hint="eastAsia"/>
          <w:sz w:val="21"/>
          <w:szCs w:val="21"/>
        </w:rPr>
      </w:pPr>
      <w:r>
        <w:rPr>
          <w:rFonts w:hint="eastAsia"/>
          <w:sz w:val="21"/>
          <w:szCs w:val="21"/>
          <w:lang w:val="en-US" w:eastAsia="zh-CN"/>
        </w:rPr>
        <w:t>海关总署 税务总局</w:t>
      </w:r>
    </w:p>
    <w:p>
      <w:pPr>
        <w:pStyle w:val="20"/>
        <w:spacing w:before="0" w:beforeAutospacing="0" w:after="0" w:afterAutospacing="0" w:line="360" w:lineRule="auto"/>
        <w:jc w:val="right"/>
        <w:rPr>
          <w:rFonts w:hint="eastAsia"/>
          <w:sz w:val="21"/>
          <w:szCs w:val="21"/>
        </w:rPr>
      </w:pPr>
      <w:r>
        <w:rPr>
          <w:rFonts w:hint="eastAsia"/>
          <w:sz w:val="21"/>
          <w:szCs w:val="21"/>
          <w:lang w:val="en-US" w:eastAsia="zh-CN"/>
        </w:rPr>
        <w:t>2019年1月18日</w:t>
      </w:r>
    </w:p>
    <w:p>
      <w:pPr>
        <w:jc w:val="center"/>
        <w:rPr>
          <w:rFonts w:hint="eastAsia" w:ascii="宋体" w:hAnsi="宋体" w:eastAsia="宋体" w:cs="宋体"/>
          <w:sz w:val="14"/>
          <w:szCs w:val="14"/>
        </w:rPr>
      </w:pPr>
    </w:p>
    <w:p>
      <w:pPr>
        <w:jc w:val="center"/>
        <w:rPr>
          <w:rFonts w:hint="eastAsia" w:ascii="宋体" w:hAnsi="宋体" w:eastAsia="宋体" w:cs="宋体"/>
          <w:sz w:val="14"/>
          <w:szCs w:val="14"/>
        </w:rPr>
      </w:pPr>
    </w:p>
    <w:p>
      <w:pPr>
        <w:jc w:val="center"/>
        <w:rPr>
          <w:rFonts w:hint="eastAsia" w:ascii="宋体" w:hAnsi="宋体" w:eastAsia="宋体" w:cs="宋体"/>
          <w:sz w:val="14"/>
          <w:szCs w:val="14"/>
        </w:rPr>
      </w:pPr>
    </w:p>
    <w:p>
      <w:pPr>
        <w:jc w:val="center"/>
        <w:rPr>
          <w:rFonts w:hint="eastAsia" w:ascii="宋体" w:hAnsi="宋体" w:eastAsia="宋体" w:cs="宋体"/>
          <w:sz w:val="14"/>
          <w:szCs w:val="14"/>
        </w:rPr>
      </w:pPr>
    </w:p>
    <w:p>
      <w:pPr>
        <w:jc w:val="center"/>
        <w:rPr>
          <w:rFonts w:hint="eastAsia" w:ascii="宋体" w:hAnsi="宋体" w:eastAsia="宋体" w:cs="宋体"/>
          <w:sz w:val="14"/>
          <w:szCs w:val="1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Times New Roman"/>
          <w:b/>
          <w:bCs/>
          <w:kern w:val="2"/>
          <w:sz w:val="28"/>
          <w:szCs w:val="28"/>
          <w:lang w:val="en-US" w:eastAsia="zh-CN" w:bidi="ar-SA"/>
        </w:rPr>
      </w:pPr>
      <w:bookmarkStart w:id="77" w:name="_Toc15215"/>
      <w:r>
        <w:rPr>
          <w:rFonts w:hint="eastAsia" w:ascii="宋体" w:hAnsi="宋体" w:eastAsia="宋体" w:cs="Times New Roman"/>
          <w:b/>
          <w:bCs/>
          <w:kern w:val="2"/>
          <w:sz w:val="28"/>
          <w:szCs w:val="28"/>
          <w:lang w:val="en-US" w:eastAsia="zh-CN" w:bidi="ar-SA"/>
        </w:rPr>
        <w:t>关于开展国家中小企业公共服务示范平台、国家小型微型企业创业创新示范基地运营情况以及国家中小企业公共服务示范平台（技术类）享受支持科技创新进口税收政策情况检查工作的通知</w:t>
      </w:r>
      <w:bookmarkEnd w:id="77"/>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Times New Roman"/>
          <w:b w:val="0"/>
          <w:bCs w:val="0"/>
          <w:kern w:val="2"/>
          <w:sz w:val="24"/>
          <w:szCs w:val="24"/>
          <w:lang w:val="en-US" w:eastAsia="zh-CN" w:bidi="ar-SA"/>
        </w:rPr>
      </w:pPr>
      <w:bookmarkStart w:id="78" w:name="_Toc31319"/>
      <w:bookmarkStart w:id="79" w:name="_Toc7160"/>
      <w:r>
        <w:rPr>
          <w:rFonts w:hint="eastAsia" w:ascii="宋体" w:hAnsi="宋体" w:eastAsia="宋体" w:cs="Times New Roman"/>
          <w:b w:val="0"/>
          <w:bCs w:val="0"/>
          <w:kern w:val="2"/>
          <w:sz w:val="24"/>
          <w:szCs w:val="24"/>
          <w:lang w:val="en-US" w:eastAsia="zh-CN" w:bidi="ar-SA"/>
        </w:rPr>
        <w:t>工企业函〔2019〕48号</w:t>
      </w:r>
      <w:bookmarkEnd w:id="78"/>
      <w:bookmarkEnd w:id="79"/>
    </w:p>
    <w:p>
      <w:pPr>
        <w:pStyle w:val="20"/>
        <w:spacing w:before="0" w:beforeAutospacing="0" w:after="0" w:afterAutospacing="0" w:line="360" w:lineRule="auto"/>
        <w:jc w:val="both"/>
        <w:rPr>
          <w:rFonts w:hint="eastAsia"/>
          <w:sz w:val="21"/>
          <w:szCs w:val="21"/>
        </w:rPr>
      </w:pPr>
      <w:r>
        <w:rPr>
          <w:rFonts w:hint="eastAsia" w:ascii="宋体" w:hAnsi="宋体" w:eastAsia="宋体" w:cs="宋体"/>
          <w:i w:val="0"/>
          <w:caps w:val="0"/>
          <w:color w:val="070707"/>
          <w:spacing w:val="0"/>
          <w:sz w:val="16"/>
          <w:szCs w:val="16"/>
        </w:rPr>
        <w:br w:type="textWrapping"/>
      </w:r>
      <w:r>
        <w:rPr>
          <w:rFonts w:hint="default"/>
          <w:sz w:val="21"/>
          <w:szCs w:val="21"/>
        </w:rPr>
        <w:t>各省、自治区、直辖市及计划单列市、新疆生产建设兵团中小企业主管部门，相关单位：</w:t>
      </w:r>
      <w:r>
        <w:rPr>
          <w:rFonts w:hint="default"/>
          <w:sz w:val="21"/>
          <w:szCs w:val="21"/>
        </w:rPr>
        <w:br w:type="textWrapping"/>
      </w:r>
      <w:r>
        <w:rPr>
          <w:rFonts w:hint="default"/>
          <w:sz w:val="21"/>
          <w:szCs w:val="21"/>
        </w:rPr>
        <w:t>　　根据《工业和信息化部关于印发〈国家中小企业公共服务示范平台认定管理办法〉的通知》（工信部企业〔2017〕156号）、《工业和信息化部关于印发〈国家小型微型企业创业创新示范基地建设管理办法〉的通知》（工信部企业〔2016〕194号）以及《关于支持科技创新进口税收政策管理办法的通知》（财关税〔2016〕71号）的要求，现就开展国家中小企业公共服务示范平台（以下简称示范平台）和国家小型微型企业创业创新示范基地（以下简称示范基地）运营情况以及国家中小企业公共服务示范平台（技术类）享受支持科技创新进口税收政策（以下简称免税技术类示范平台）情况检查工作的有关事项通知如下：</w:t>
      </w:r>
      <w:r>
        <w:rPr>
          <w:rFonts w:hint="default"/>
          <w:sz w:val="21"/>
          <w:szCs w:val="21"/>
        </w:rPr>
        <w:br w:type="textWrapping"/>
      </w:r>
      <w:r>
        <w:rPr>
          <w:rFonts w:hint="default"/>
          <w:sz w:val="21"/>
          <w:szCs w:val="21"/>
        </w:rPr>
        <w:t>　　一、本次检查范围为工业和信息化部认定的在有效期内的647家示范平台（包括通过复核的第二批、第三批以及2017年批次和2018年批次）、321家示范基地（包括第二批、第三批和2018年批次），以及工业和信息化部、财政部、海关总署、国家税务总局联合公布的28家免税技术类示范平台（2017年批次和2018年批次）。</w:t>
      </w:r>
      <w:r>
        <w:rPr>
          <w:rFonts w:hint="default"/>
          <w:sz w:val="21"/>
          <w:szCs w:val="21"/>
        </w:rPr>
        <w:br w:type="textWrapping"/>
      </w:r>
      <w:r>
        <w:rPr>
          <w:rFonts w:hint="default"/>
          <w:sz w:val="21"/>
          <w:szCs w:val="21"/>
        </w:rPr>
        <w:t>　　二、按照属地化管理原则，对辖区内示范平台和示范基地服务质量、服务收费、为中小企业服务等运营情况，以及免税技术类示范平台服务情况、支持科技创新进口税收政策执行情况进行检查，检查时间段为2018年1月1日至2018年12月31日。</w:t>
      </w:r>
      <w:r>
        <w:rPr>
          <w:rFonts w:hint="default"/>
          <w:sz w:val="21"/>
          <w:szCs w:val="21"/>
        </w:rPr>
        <w:br w:type="textWrapping"/>
      </w:r>
      <w:r>
        <w:rPr>
          <w:rFonts w:hint="default"/>
          <w:sz w:val="21"/>
          <w:szCs w:val="21"/>
        </w:rPr>
        <w:t>　　三、请示范平台和示范基地分别对照管理办法的相关条件，主要从运营管理、制度建设、服务业绩及成效，以及进一步完善服务功能，不断提高服务能力和组织带动社会服务资源的能力，主动开展公益性服务，积极承担政府部门委托的各项任务等方面自查。</w:t>
      </w:r>
      <w:r>
        <w:rPr>
          <w:rFonts w:hint="default"/>
          <w:sz w:val="21"/>
          <w:szCs w:val="21"/>
        </w:rPr>
        <w:br w:type="textWrapping"/>
      </w:r>
      <w:r>
        <w:rPr>
          <w:rFonts w:hint="default"/>
          <w:sz w:val="21"/>
          <w:szCs w:val="21"/>
        </w:rPr>
        <w:t>　　四、请省级中小企业主管部门对示范平台、示范基地运营情况以及免税技术类示范平台享受政策情况进行检查，形成检查情况报告，并填报基本情况汇总表（见附件），附件在工业和信息化部网站和中国中小企业信息网下载，于2019年3月15日前将检查情况总体报告、各示范平台和示范基地工作总结、免税技术类示范平台享受政策情况等材料报送我局，同时将电子版发送至邮箱</w:t>
      </w:r>
      <w:r>
        <w:rPr>
          <w:rFonts w:hint="default"/>
          <w:sz w:val="21"/>
          <w:szCs w:val="21"/>
        </w:rPr>
        <w:fldChar w:fldCharType="begin"/>
      </w:r>
      <w:r>
        <w:rPr>
          <w:rFonts w:hint="default"/>
          <w:sz w:val="21"/>
          <w:szCs w:val="21"/>
        </w:rPr>
        <w:instrText xml:space="preserve"> HYPERLINK "mailto:cxfwc@miit.gov.cn" </w:instrText>
      </w:r>
      <w:r>
        <w:rPr>
          <w:rFonts w:hint="default"/>
          <w:sz w:val="21"/>
          <w:szCs w:val="21"/>
        </w:rPr>
        <w:fldChar w:fldCharType="separate"/>
      </w:r>
      <w:r>
        <w:rPr>
          <w:rFonts w:hint="default"/>
          <w:sz w:val="21"/>
          <w:szCs w:val="21"/>
        </w:rPr>
        <w:t>cxfwc@miit.gov.cn</w:t>
      </w:r>
      <w:r>
        <w:rPr>
          <w:rFonts w:hint="default"/>
          <w:sz w:val="21"/>
          <w:szCs w:val="21"/>
        </w:rPr>
        <w:fldChar w:fldCharType="end"/>
      </w:r>
      <w:r>
        <w:rPr>
          <w:rFonts w:hint="default"/>
          <w:sz w:val="21"/>
          <w:szCs w:val="21"/>
        </w:rPr>
        <w:t>。</w:t>
      </w:r>
    </w:p>
    <w:p>
      <w:pPr>
        <w:pStyle w:val="20"/>
        <w:spacing w:before="0" w:beforeAutospacing="0" w:after="0" w:afterAutospacing="0" w:line="360" w:lineRule="auto"/>
        <w:jc w:val="both"/>
        <w:rPr>
          <w:rFonts w:hint="eastAsia"/>
          <w:sz w:val="21"/>
          <w:szCs w:val="21"/>
        </w:rPr>
      </w:pPr>
      <w:r>
        <w:rPr>
          <w:rFonts w:hint="eastAsia"/>
          <w:sz w:val="21"/>
          <w:szCs w:val="21"/>
        </w:rPr>
        <w:t>　　</w:t>
      </w:r>
      <w:r>
        <w:rPr>
          <w:rFonts w:hint="default"/>
          <w:sz w:val="21"/>
          <w:szCs w:val="21"/>
        </w:rPr>
        <w:t>　　附件：</w:t>
      </w:r>
      <w:r>
        <w:rPr>
          <w:rFonts w:hint="default"/>
          <w:sz w:val="21"/>
          <w:szCs w:val="21"/>
        </w:rPr>
        <w:fldChar w:fldCharType="begin"/>
      </w:r>
      <w:r>
        <w:rPr>
          <w:rFonts w:hint="default"/>
          <w:sz w:val="21"/>
          <w:szCs w:val="21"/>
        </w:rPr>
        <w:instrText xml:space="preserve"> HYPERLINK "http://www.miit.gov.cn/n1146285/n1146352/n3054355/n3057527/n3057529/c6621038/part/6621053.xls" </w:instrText>
      </w:r>
      <w:r>
        <w:rPr>
          <w:rFonts w:hint="default"/>
          <w:sz w:val="21"/>
          <w:szCs w:val="21"/>
        </w:rPr>
        <w:fldChar w:fldCharType="separate"/>
      </w:r>
      <w:r>
        <w:rPr>
          <w:rFonts w:hint="default"/>
          <w:sz w:val="21"/>
          <w:szCs w:val="21"/>
        </w:rPr>
        <w:t>1. 2018年度示范平台基本情况汇总表</w:t>
      </w:r>
      <w:r>
        <w:rPr>
          <w:rFonts w:hint="default"/>
          <w:sz w:val="21"/>
          <w:szCs w:val="21"/>
        </w:rPr>
        <w:fldChar w:fldCharType="end"/>
      </w:r>
      <w:r>
        <w:rPr>
          <w:rFonts w:hint="default"/>
          <w:sz w:val="21"/>
          <w:szCs w:val="21"/>
        </w:rPr>
        <w:t>　　　　　　　</w:t>
      </w:r>
      <w:r>
        <w:rPr>
          <w:rFonts w:hint="default"/>
          <w:sz w:val="21"/>
          <w:szCs w:val="21"/>
        </w:rPr>
        <w:br w:type="textWrapping"/>
      </w:r>
      <w:r>
        <w:rPr>
          <w:rFonts w:hint="default"/>
          <w:sz w:val="21"/>
          <w:szCs w:val="21"/>
        </w:rPr>
        <w:t>　　　　　　　</w:t>
      </w:r>
      <w:r>
        <w:rPr>
          <w:rFonts w:hint="default"/>
          <w:sz w:val="21"/>
          <w:szCs w:val="21"/>
        </w:rPr>
        <w:fldChar w:fldCharType="begin"/>
      </w:r>
      <w:r>
        <w:rPr>
          <w:rFonts w:hint="default"/>
          <w:sz w:val="21"/>
          <w:szCs w:val="21"/>
        </w:rPr>
        <w:instrText xml:space="preserve"> HYPERLINK "http://www.miit.gov.cn/n1146285/n1146352/n3054355/n3057527/n3057529/c6621038/part/6621054.xls" </w:instrText>
      </w:r>
      <w:r>
        <w:rPr>
          <w:rFonts w:hint="default"/>
          <w:sz w:val="21"/>
          <w:szCs w:val="21"/>
        </w:rPr>
        <w:fldChar w:fldCharType="separate"/>
      </w:r>
      <w:r>
        <w:rPr>
          <w:rFonts w:hint="default"/>
          <w:sz w:val="21"/>
          <w:szCs w:val="21"/>
        </w:rPr>
        <w:t>2. 2018年度示范基地基本情况汇总表</w:t>
      </w:r>
      <w:r>
        <w:rPr>
          <w:rFonts w:hint="default"/>
          <w:sz w:val="21"/>
          <w:szCs w:val="21"/>
        </w:rPr>
        <w:fldChar w:fldCharType="end"/>
      </w:r>
    </w:p>
    <w:p>
      <w:pPr>
        <w:pStyle w:val="20"/>
        <w:spacing w:before="0" w:beforeAutospacing="0" w:after="0" w:afterAutospacing="0" w:line="360" w:lineRule="auto"/>
        <w:jc w:val="both"/>
        <w:rPr>
          <w:rFonts w:hint="eastAsia"/>
          <w:sz w:val="21"/>
          <w:szCs w:val="21"/>
        </w:rPr>
      </w:pPr>
      <w:r>
        <w:rPr>
          <w:rFonts w:hint="eastAsia"/>
          <w:sz w:val="21"/>
          <w:szCs w:val="21"/>
        </w:rPr>
        <w:t>　　</w:t>
      </w:r>
    </w:p>
    <w:p>
      <w:pPr>
        <w:pStyle w:val="20"/>
        <w:spacing w:before="0" w:beforeAutospacing="0" w:after="0" w:afterAutospacing="0" w:line="360" w:lineRule="auto"/>
        <w:jc w:val="right"/>
        <w:rPr>
          <w:rFonts w:hint="eastAsia"/>
          <w:sz w:val="21"/>
          <w:szCs w:val="21"/>
        </w:rPr>
      </w:pPr>
      <w:r>
        <w:rPr>
          <w:rFonts w:hint="eastAsia"/>
          <w:sz w:val="21"/>
          <w:szCs w:val="21"/>
        </w:rPr>
        <w:t>　　</w:t>
      </w:r>
      <w:r>
        <w:rPr>
          <w:rFonts w:hint="default"/>
          <w:sz w:val="21"/>
          <w:szCs w:val="21"/>
        </w:rPr>
        <w:t>                  工业和信息化部中小企业局</w:t>
      </w:r>
      <w:r>
        <w:rPr>
          <w:rFonts w:hint="default"/>
          <w:sz w:val="21"/>
          <w:szCs w:val="21"/>
        </w:rPr>
        <w:br w:type="textWrapping"/>
      </w:r>
      <w:r>
        <w:rPr>
          <w:rFonts w:hint="default"/>
          <w:sz w:val="21"/>
          <w:szCs w:val="21"/>
        </w:rPr>
        <w:t>                       2019年1月25日</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outlineLvl w:val="9"/>
        <w:rPr>
          <w:rFonts w:hint="eastAsia" w:ascii="宋体" w:hAnsi="宋体" w:eastAsia="宋体" w:cs="宋体"/>
          <w:color w:val="333333"/>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i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i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Times New Roman"/>
          <w:b/>
          <w:bCs/>
          <w:kern w:val="2"/>
          <w:sz w:val="28"/>
          <w:szCs w:val="28"/>
          <w:lang w:val="en-US" w:eastAsia="zh-CN" w:bidi="ar-SA"/>
        </w:rPr>
      </w:pPr>
      <w:bookmarkStart w:id="80" w:name="_Toc21972"/>
      <w:r>
        <w:rPr>
          <w:rFonts w:hint="eastAsia" w:ascii="宋体" w:hAnsi="宋体" w:eastAsia="宋体" w:cs="Times New Roman"/>
          <w:b/>
          <w:bCs/>
          <w:kern w:val="2"/>
          <w:sz w:val="28"/>
          <w:szCs w:val="28"/>
          <w:lang w:val="en-US" w:eastAsia="zh-CN" w:bidi="ar-SA"/>
        </w:rPr>
        <w:t>关于开展2019年国家中小企业公共服务示范平台（技术类）享受科技创新进口免税政策资格申报和复审工作的通知</w:t>
      </w:r>
      <w:bookmarkEnd w:id="8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Times New Roman"/>
          <w:b w:val="0"/>
          <w:bCs w:val="0"/>
          <w:kern w:val="2"/>
          <w:sz w:val="24"/>
          <w:szCs w:val="24"/>
          <w:lang w:val="en-US" w:eastAsia="zh-CN" w:bidi="ar-SA"/>
        </w:rPr>
      </w:pPr>
      <w:bookmarkStart w:id="81" w:name="_Toc10761"/>
      <w:r>
        <w:rPr>
          <w:rFonts w:hint="eastAsia" w:ascii="宋体" w:hAnsi="宋体" w:eastAsia="宋体" w:cs="Times New Roman"/>
          <w:b w:val="0"/>
          <w:bCs w:val="0"/>
          <w:kern w:val="2"/>
          <w:sz w:val="24"/>
          <w:szCs w:val="24"/>
          <w:lang w:val="en-US" w:eastAsia="zh-CN" w:bidi="ar-SA"/>
        </w:rPr>
        <w:t>工企业函〔2019〕49号</w:t>
      </w:r>
      <w:bookmarkEnd w:id="81"/>
    </w:p>
    <w:p>
      <w:pPr>
        <w:pStyle w:val="20"/>
        <w:spacing w:before="0" w:beforeAutospacing="0" w:after="0" w:afterAutospacing="0" w:line="360" w:lineRule="auto"/>
        <w:jc w:val="both"/>
        <w:rPr>
          <w:rFonts w:hint="default"/>
          <w:sz w:val="21"/>
          <w:szCs w:val="21"/>
        </w:rPr>
      </w:pPr>
      <w:r>
        <w:rPr>
          <w:rFonts w:hint="eastAsia" w:ascii="宋体" w:hAnsi="宋体" w:eastAsia="宋体" w:cs="宋体"/>
          <w:i w:val="0"/>
          <w:caps w:val="0"/>
          <w:color w:val="070707"/>
          <w:spacing w:val="0"/>
          <w:sz w:val="16"/>
          <w:szCs w:val="16"/>
        </w:rPr>
        <w:br w:type="textWrapping"/>
      </w:r>
      <w:r>
        <w:rPr>
          <w:rFonts w:hint="eastAsia" w:ascii="宋体" w:hAnsi="宋体" w:eastAsia="宋体" w:cs="宋体"/>
          <w:i w:val="0"/>
          <w:caps w:val="0"/>
          <w:color w:val="070707"/>
          <w:spacing w:val="0"/>
          <w:sz w:val="16"/>
          <w:szCs w:val="16"/>
        </w:rPr>
        <w:br w:type="textWrapping"/>
      </w:r>
      <w:r>
        <w:rPr>
          <w:rFonts w:hint="default"/>
          <w:sz w:val="21"/>
          <w:szCs w:val="21"/>
        </w:rPr>
        <w:t>各省、自治区、直辖市及计划单列市、新疆生产建设兵团中小企业主管部门：</w:t>
      </w:r>
      <w:r>
        <w:rPr>
          <w:rFonts w:hint="default"/>
          <w:sz w:val="21"/>
          <w:szCs w:val="21"/>
        </w:rPr>
        <w:br w:type="textWrapping"/>
      </w:r>
      <w:r>
        <w:rPr>
          <w:rFonts w:hint="default"/>
          <w:sz w:val="21"/>
          <w:szCs w:val="21"/>
        </w:rPr>
        <w:t>　　根据《关于“十三五”期间支持科技创新进口税收政策的通知》（财关税〔2016〕70号）和《关于支持科技创新进口税收政策管理办法的通知》（财关税〔2016〕71号）的相关规定，现将开展2019年国家中小企业公共服务示范平台（技术类）（以下简称示范平台）享受科技创新进口免税资格申报和复审工作有关事项通知如下：</w:t>
      </w:r>
      <w:r>
        <w:rPr>
          <w:rFonts w:hint="default"/>
          <w:sz w:val="21"/>
          <w:szCs w:val="21"/>
        </w:rPr>
        <w:br w:type="textWrapping"/>
      </w:r>
      <w:r>
        <w:rPr>
          <w:rFonts w:hint="default"/>
          <w:sz w:val="21"/>
          <w:szCs w:val="21"/>
        </w:rPr>
        <w:t>　　一、符合条件的示范平台向所在省、自治区、直辖市及计划单列市、新疆生产建设兵团中小企业主管部门（以下简称省级中小企业主管部门）提出书面申请，并按照《关于支持科技创新进口税收政策管理办法的通知》要求提交相关申请材料。</w:t>
      </w:r>
    </w:p>
    <w:p>
      <w:pPr>
        <w:pStyle w:val="20"/>
        <w:spacing w:before="0" w:beforeAutospacing="0" w:after="0" w:afterAutospacing="0" w:line="360" w:lineRule="auto"/>
        <w:ind w:left="0" w:leftChars="0" w:firstLine="420" w:firstLineChars="200"/>
        <w:jc w:val="both"/>
        <w:rPr>
          <w:rFonts w:hint="default"/>
          <w:sz w:val="21"/>
          <w:szCs w:val="21"/>
        </w:rPr>
      </w:pPr>
      <w:r>
        <w:rPr>
          <w:rFonts w:hint="default"/>
          <w:sz w:val="21"/>
          <w:szCs w:val="21"/>
        </w:rPr>
        <w:t>二、2017年获得免税资格的示范平台须按文件要求进行复审，将复审申请报告（随附免税资格审核表、资产总额和累计购置设备总额的专项审计报告）、两年工作总结（须包含服务中小企业情况和享受免税情况）报省级中小企业主管部门。</w:t>
      </w:r>
      <w:r>
        <w:rPr>
          <w:rFonts w:hint="default"/>
          <w:sz w:val="21"/>
          <w:szCs w:val="21"/>
        </w:rPr>
        <w:br w:type="textWrapping"/>
      </w:r>
      <w:r>
        <w:rPr>
          <w:rFonts w:hint="default"/>
          <w:sz w:val="21"/>
          <w:szCs w:val="21"/>
        </w:rPr>
        <w:t>　　三、请省级中小企业主管部门组织好辖区内示范平台享受科技创新进口免税资格申报和复审工作，并于2019年3月31日前会同财政、海关、税务部门将审核意见及符合免税条件的示范平台相关纸质材料一式四份报送我局，并通过电子邮箱发送电子版材料（相关表格电子版可在工业和信息化部网站查看）。</w:t>
      </w:r>
    </w:p>
    <w:p>
      <w:pPr>
        <w:pStyle w:val="20"/>
        <w:spacing w:before="0" w:beforeAutospacing="0" w:after="0" w:afterAutospacing="0" w:line="360" w:lineRule="auto"/>
        <w:jc w:val="center"/>
        <w:rPr>
          <w:rFonts w:hint="default"/>
          <w:sz w:val="21"/>
          <w:szCs w:val="21"/>
        </w:rPr>
      </w:pPr>
      <w:r>
        <w:rPr>
          <w:rFonts w:hint="default"/>
          <w:sz w:val="21"/>
          <w:szCs w:val="21"/>
        </w:rPr>
        <w:t>附件：</w:t>
      </w:r>
      <w:r>
        <w:rPr>
          <w:rFonts w:hint="default"/>
          <w:sz w:val="21"/>
          <w:szCs w:val="21"/>
        </w:rPr>
        <w:fldChar w:fldCharType="begin"/>
      </w:r>
      <w:r>
        <w:rPr>
          <w:rFonts w:hint="default"/>
          <w:sz w:val="21"/>
          <w:szCs w:val="21"/>
        </w:rPr>
        <w:instrText xml:space="preserve"> HYPERLINK "http://www.miit.gov.cn/n1146285/n1146352/n3054355/n3057527/n3057529/c6621087/part/6621102.docx" </w:instrText>
      </w:r>
      <w:r>
        <w:rPr>
          <w:rFonts w:hint="default"/>
          <w:sz w:val="21"/>
          <w:szCs w:val="21"/>
        </w:rPr>
        <w:fldChar w:fldCharType="separate"/>
      </w:r>
      <w:r>
        <w:rPr>
          <w:rFonts w:hint="default"/>
          <w:sz w:val="21"/>
          <w:szCs w:val="21"/>
        </w:rPr>
        <w:t>国家中小企业公共服务示范平台（技术类）免税进口科学研究、科技开发和教学用品管理办法</w:t>
      </w:r>
      <w:r>
        <w:rPr>
          <w:rFonts w:hint="default"/>
          <w:sz w:val="21"/>
          <w:szCs w:val="21"/>
        </w:rPr>
        <w:fldChar w:fldCharType="end"/>
      </w:r>
      <w:r>
        <w:rPr>
          <w:rFonts w:hint="eastAsia"/>
          <w:sz w:val="21"/>
          <w:szCs w:val="21"/>
        </w:rPr>
        <w:t>　　 </w:t>
      </w:r>
      <w:r>
        <w:rPr>
          <w:rFonts w:hint="eastAsia"/>
          <w:sz w:val="21"/>
          <w:szCs w:val="21"/>
        </w:rPr>
        <w:br w:type="textWrapping"/>
      </w:r>
      <w:r>
        <w:rPr>
          <w:rFonts w:hint="eastAsia"/>
          <w:sz w:val="21"/>
          <w:szCs w:val="21"/>
        </w:rPr>
        <w:br w:type="textWrapping"/>
      </w:r>
    </w:p>
    <w:p>
      <w:pPr>
        <w:pStyle w:val="20"/>
        <w:spacing w:before="0" w:beforeAutospacing="0" w:after="0" w:afterAutospacing="0" w:line="360" w:lineRule="auto"/>
        <w:jc w:val="center"/>
        <w:rPr>
          <w:rFonts w:hint="default"/>
          <w:sz w:val="21"/>
          <w:szCs w:val="21"/>
        </w:rPr>
      </w:pPr>
      <w:r>
        <w:rPr>
          <w:rFonts w:hint="eastAsia"/>
          <w:sz w:val="21"/>
          <w:szCs w:val="21"/>
          <w:lang w:val="en-US" w:eastAsia="zh-CN"/>
        </w:rPr>
        <w:t xml:space="preserve">                                                 </w:t>
      </w:r>
      <w:r>
        <w:rPr>
          <w:rFonts w:hint="default"/>
          <w:sz w:val="21"/>
          <w:szCs w:val="21"/>
        </w:rPr>
        <w:t>工业和信息化部中小企业局   </w:t>
      </w:r>
      <w:r>
        <w:rPr>
          <w:rFonts w:hint="default"/>
          <w:sz w:val="21"/>
          <w:szCs w:val="21"/>
        </w:rPr>
        <w:br w:type="textWrapping"/>
      </w:r>
      <w:r>
        <w:rPr>
          <w:rFonts w:hint="default"/>
          <w:sz w:val="21"/>
          <w:szCs w:val="21"/>
        </w:rPr>
        <w:t>                      2019年1月25日</w:t>
      </w:r>
    </w:p>
    <w:p>
      <w:pPr>
        <w:pStyle w:val="20"/>
        <w:spacing w:before="0" w:beforeAutospacing="0" w:after="0" w:afterAutospacing="0" w:line="360" w:lineRule="auto"/>
        <w:jc w:val="both"/>
        <w:rPr>
          <w:rFonts w:hint="eastAsia"/>
          <w:sz w:val="21"/>
          <w:szCs w:val="21"/>
        </w:rPr>
      </w:pPr>
    </w:p>
    <w:p>
      <w:pPr>
        <w:keepNext w:val="0"/>
        <w:keepLines w:val="0"/>
        <w:widowControl/>
        <w:suppressLineNumbers w:val="0"/>
        <w:spacing w:line="432" w:lineRule="auto"/>
        <w:jc w:val="center"/>
        <w:rPr>
          <w:rFonts w:hint="eastAsia" w:ascii="宋体" w:hAnsi="宋体" w:eastAsia="宋体" w:cs="宋体"/>
          <w:b/>
          <w:color w:val="185895"/>
          <w:kern w:val="0"/>
          <w:sz w:val="28"/>
          <w:szCs w:val="28"/>
          <w:lang w:val="en-US" w:eastAsia="zh-CN" w:bidi="ar"/>
        </w:rPr>
      </w:pPr>
    </w:p>
    <w:p>
      <w:pPr>
        <w:keepNext w:val="0"/>
        <w:keepLines w:val="0"/>
        <w:widowControl/>
        <w:suppressLineNumbers w:val="0"/>
        <w:spacing w:line="432" w:lineRule="auto"/>
        <w:jc w:val="center"/>
        <w:rPr>
          <w:rFonts w:hint="eastAsia" w:ascii="宋体" w:hAnsi="宋体" w:eastAsia="宋体" w:cs="宋体"/>
          <w:b/>
          <w:color w:val="185895"/>
          <w:kern w:val="0"/>
          <w:sz w:val="28"/>
          <w:szCs w:val="28"/>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Times New Roman"/>
          <w:b/>
          <w:bCs/>
          <w:kern w:val="2"/>
          <w:sz w:val="28"/>
          <w:szCs w:val="28"/>
          <w:lang w:val="en-US" w:eastAsia="zh-CN" w:bidi="ar-SA"/>
        </w:rPr>
      </w:pPr>
      <w:bookmarkStart w:id="82" w:name="_Toc11131"/>
      <w:r>
        <w:rPr>
          <w:rFonts w:hint="eastAsia" w:ascii="宋体" w:hAnsi="宋体" w:eastAsia="宋体" w:cs="Times New Roman"/>
          <w:b/>
          <w:bCs/>
          <w:kern w:val="2"/>
          <w:sz w:val="28"/>
          <w:szCs w:val="28"/>
          <w:lang w:val="en-US" w:eastAsia="zh-CN" w:bidi="ar-SA"/>
        </w:rPr>
        <w:t>关于印发《永续债相关会计处理的规定》的通知</w:t>
      </w:r>
      <w:bookmarkEnd w:id="82"/>
      <w:r>
        <w:rPr>
          <w:rFonts w:hint="eastAsia" w:ascii="宋体" w:hAnsi="宋体" w:eastAsia="宋体" w:cs="Times New Roman"/>
          <w:b/>
          <w:bCs/>
          <w:kern w:val="2"/>
          <w:sz w:val="28"/>
          <w:szCs w:val="28"/>
          <w:lang w:val="en-US" w:eastAsia="zh-CN" w:bidi="ar-SA"/>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Times New Roman"/>
          <w:b w:val="0"/>
          <w:bCs w:val="0"/>
          <w:kern w:val="2"/>
          <w:sz w:val="24"/>
          <w:szCs w:val="24"/>
          <w:lang w:val="en-US" w:eastAsia="zh-CN" w:bidi="ar-SA"/>
        </w:rPr>
      </w:pPr>
      <w:bookmarkStart w:id="83" w:name="_Toc25248"/>
      <w:r>
        <w:rPr>
          <w:rFonts w:hint="eastAsia" w:ascii="宋体" w:hAnsi="宋体" w:eastAsia="宋体" w:cs="Times New Roman"/>
          <w:b w:val="0"/>
          <w:bCs w:val="0"/>
          <w:kern w:val="2"/>
          <w:sz w:val="24"/>
          <w:szCs w:val="24"/>
          <w:lang w:val="en-US" w:eastAsia="zh-CN" w:bidi="ar-SA"/>
        </w:rPr>
        <w:t>财会〔2019〕2号</w:t>
      </w:r>
      <w:bookmarkEnd w:id="83"/>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2" w:lineRule="atLeast"/>
        <w:ind w:left="0" w:right="0"/>
        <w:jc w:val="both"/>
        <w:rPr>
          <w:rFonts w:hint="eastAsia" w:ascii="宋体" w:hAnsi="宋体" w:eastAsia="宋体" w:cs="宋体"/>
          <w:sz w:val="24"/>
          <w:szCs w:val="24"/>
        </w:rPr>
      </w:pP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国务院有关部委、有关直属机构，各省、自治区、直辖市、计划单列市财政厅（局），新疆生产建设兵团财政局，财政部驻各省、自治区、直辖市、计划单列市财政监察专员办事处，有关中央管理企业：</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为进一步明确企业永续债相关会计处理如何适用现行企业会计准则，我部对《企业会计准则第22号——金融工具确认和计量》《企业会计准则第37号——金融工具列报》等企业会计准则相关规定及相关应用指南内容予以整合细化，形成了《永续债相关会计处理的规定》，现予印发。</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企业在执行中有何问题，请及时反馈我部。</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附件：永续债相关会计处理的规定</w:t>
      </w:r>
    </w:p>
    <w:p>
      <w:pPr>
        <w:pStyle w:val="20"/>
        <w:spacing w:before="0" w:beforeAutospacing="0" w:after="0" w:afterAutospacing="0" w:line="360" w:lineRule="auto"/>
        <w:ind w:left="0" w:leftChars="0" w:firstLine="420" w:firstLineChars="200"/>
        <w:jc w:val="right"/>
        <w:rPr>
          <w:rFonts w:hint="eastAsia"/>
          <w:sz w:val="21"/>
          <w:szCs w:val="21"/>
        </w:rPr>
      </w:pPr>
      <w:r>
        <w:rPr>
          <w:rFonts w:hint="eastAsia"/>
          <w:sz w:val="21"/>
          <w:szCs w:val="21"/>
        </w:rPr>
        <w:t>　　财  政  部</w:t>
      </w:r>
    </w:p>
    <w:p>
      <w:pPr>
        <w:pStyle w:val="20"/>
        <w:spacing w:before="0" w:beforeAutospacing="0" w:after="0" w:afterAutospacing="0" w:line="360" w:lineRule="auto"/>
        <w:ind w:left="0" w:leftChars="0" w:firstLine="420" w:firstLineChars="200"/>
        <w:jc w:val="right"/>
        <w:rPr>
          <w:rFonts w:hint="eastAsia"/>
          <w:sz w:val="21"/>
          <w:szCs w:val="21"/>
        </w:rPr>
      </w:pPr>
      <w:r>
        <w:rPr>
          <w:rFonts w:hint="eastAsia"/>
          <w:sz w:val="21"/>
          <w:szCs w:val="21"/>
        </w:rPr>
        <w:t>　　2019年1月28日</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lang w:val="en-US" w:eastAsia="zh-CN"/>
        </w:rPr>
        <w:t xml:space="preserve">  </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附件下载:</w:t>
      </w:r>
      <w:r>
        <w:rPr>
          <w:rFonts w:hint="default"/>
          <w:sz w:val="21"/>
          <w:szCs w:val="21"/>
        </w:rPr>
        <w:tab/>
      </w:r>
      <w:r>
        <w:rPr>
          <w:rFonts w:hint="eastAsia"/>
          <w:sz w:val="21"/>
          <w:szCs w:val="21"/>
          <w:lang w:val="en-US" w:eastAsia="zh-CN"/>
        </w:rPr>
        <w:t xml:space="preserve">  </w:t>
      </w:r>
    </w:p>
    <w:p>
      <w:pPr>
        <w:pStyle w:val="20"/>
        <w:spacing w:before="0" w:beforeAutospacing="0" w:after="0" w:afterAutospacing="0" w:line="360" w:lineRule="auto"/>
        <w:ind w:left="0" w:leftChars="0" w:firstLine="420" w:firstLineChars="200"/>
        <w:jc w:val="both"/>
        <w:rPr>
          <w:rFonts w:hint="default"/>
          <w:sz w:val="21"/>
          <w:szCs w:val="21"/>
        </w:rPr>
      </w:pPr>
      <w:r>
        <w:rPr>
          <w:rFonts w:hint="eastAsia"/>
          <w:sz w:val="21"/>
          <w:szCs w:val="21"/>
        </w:rPr>
        <w:fldChar w:fldCharType="begin"/>
      </w:r>
      <w:r>
        <w:rPr>
          <w:rFonts w:hint="eastAsia"/>
          <w:sz w:val="21"/>
          <w:szCs w:val="21"/>
        </w:rPr>
        <w:instrText xml:space="preserve"> HYPERLINK "http://kjs.mof.gov.cn/zhengwuxinxi/zhengcefabu/201901/./P020190130562568550137.pdf" </w:instrText>
      </w:r>
      <w:r>
        <w:rPr>
          <w:rFonts w:hint="eastAsia"/>
          <w:sz w:val="21"/>
          <w:szCs w:val="21"/>
        </w:rPr>
        <w:fldChar w:fldCharType="separate"/>
      </w:r>
      <w:r>
        <w:rPr>
          <w:rFonts w:hint="eastAsia"/>
          <w:sz w:val="21"/>
          <w:szCs w:val="21"/>
        </w:rPr>
        <w:t>永续债相关会计处理的规定.pdf</w:t>
      </w:r>
      <w:r>
        <w:rPr>
          <w:rFonts w:hint="eastAsia"/>
          <w:sz w:val="21"/>
          <w:szCs w:val="21"/>
        </w:rPr>
        <w:fldChar w:fldCharType="end"/>
      </w:r>
      <w:r>
        <w:rPr>
          <w:rFonts w:hint="eastAsia"/>
          <w:sz w:val="21"/>
          <w:szCs w:val="21"/>
        </w:rPr>
        <w:t xml:space="preserve"> </w:t>
      </w:r>
    </w:p>
    <w:p>
      <w:pPr>
        <w:jc w:val="center"/>
        <w:rPr>
          <w:rFonts w:hint="eastAsia" w:ascii="宋体" w:hAnsi="宋体" w:eastAsia="宋体" w:cs="宋体"/>
          <w:sz w:val="14"/>
          <w:szCs w:val="14"/>
        </w:rPr>
      </w:pPr>
    </w:p>
    <w:p>
      <w:pPr>
        <w:spacing w:line="432" w:lineRule="auto"/>
        <w:jc w:val="center"/>
        <w:rPr>
          <w:rFonts w:hint="eastAsia" w:ascii="宋体" w:hAnsi="宋体" w:eastAsia="宋体" w:cs="宋体"/>
          <w:sz w:val="14"/>
          <w:szCs w:val="14"/>
        </w:rPr>
      </w:pPr>
    </w:p>
    <w:p>
      <w:pPr>
        <w:spacing w:line="432" w:lineRule="auto"/>
        <w:jc w:val="center"/>
        <w:rPr>
          <w:rFonts w:hint="eastAsia" w:ascii="宋体" w:hAnsi="宋体" w:eastAsia="宋体" w:cs="宋体"/>
          <w:sz w:val="14"/>
          <w:szCs w:val="1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Times New Roman"/>
          <w:b/>
          <w:bCs/>
          <w:kern w:val="2"/>
          <w:sz w:val="28"/>
          <w:szCs w:val="28"/>
          <w:lang w:val="en-US" w:eastAsia="zh-CN" w:bidi="ar-SA"/>
        </w:rPr>
      </w:pPr>
      <w:bookmarkStart w:id="84" w:name="_Toc10674"/>
      <w:r>
        <w:rPr>
          <w:rFonts w:hint="eastAsia" w:ascii="宋体" w:hAnsi="宋体" w:eastAsia="宋体" w:cs="Times New Roman"/>
          <w:b/>
          <w:bCs/>
          <w:kern w:val="2"/>
          <w:sz w:val="28"/>
          <w:szCs w:val="28"/>
          <w:lang w:val="en-US" w:eastAsia="zh-CN" w:bidi="ar-SA"/>
        </w:rPr>
        <w:t>关于印发《进一步优化供给推动消费平稳增长促进形成强大国内市场的实施方案（2019年）》的通知</w:t>
      </w:r>
      <w:bookmarkEnd w:id="84"/>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ind w:left="0" w:right="0" w:firstLine="0"/>
        <w:jc w:val="center"/>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EDEDE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Times New Roman"/>
          <w:b w:val="0"/>
          <w:bCs w:val="0"/>
          <w:kern w:val="2"/>
          <w:sz w:val="24"/>
          <w:szCs w:val="24"/>
          <w:lang w:val="en-US" w:eastAsia="zh-CN" w:bidi="ar-SA"/>
        </w:rPr>
      </w:pPr>
      <w:bookmarkStart w:id="85" w:name="_Toc29229"/>
      <w:r>
        <w:rPr>
          <w:rFonts w:hint="eastAsia" w:ascii="宋体" w:hAnsi="宋体" w:eastAsia="宋体" w:cs="Times New Roman"/>
          <w:b w:val="0"/>
          <w:bCs w:val="0"/>
          <w:kern w:val="2"/>
          <w:sz w:val="24"/>
          <w:szCs w:val="24"/>
          <w:lang w:val="en-US" w:eastAsia="zh-CN" w:bidi="ar-SA"/>
        </w:rPr>
        <w:t>发改综合〔2019〕181号</w:t>
      </w:r>
      <w:bookmarkEnd w:id="85"/>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 </w:t>
      </w:r>
    </w:p>
    <w:p>
      <w:pPr>
        <w:pStyle w:val="20"/>
        <w:spacing w:before="0" w:beforeAutospacing="0" w:after="0" w:afterAutospacing="0" w:line="360" w:lineRule="auto"/>
        <w:jc w:val="both"/>
        <w:rPr>
          <w:rFonts w:hint="eastAsia"/>
          <w:sz w:val="21"/>
          <w:szCs w:val="21"/>
        </w:rPr>
      </w:pPr>
      <w:r>
        <w:rPr>
          <w:rFonts w:hint="eastAsia"/>
          <w:sz w:val="21"/>
          <w:szCs w:val="21"/>
        </w:rPr>
        <w:t>各省、自治区、直辖市及计划单列市、新疆生产建设兵团发展改革委、工业和信息化主管部门、民政厅（局）、财政厅（局）、住房城乡建设厅（规划国土委、规划局、规划国土局）、交通运输厅（局、委）、农业农村（农牧、农业）厅（局、委）、商务主管部门、卫生健康委（卫生计生委）、市场监督管理部门：</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为贯彻落实中央经济工作会议精神，顺应居民消费升级大趋势，进一步优化供给，更好满足人民群众对美好生活的需要，促进形成强大国内市场，国家发展改革委会同有关部门共同研究制定了</w:t>
      </w:r>
      <w:r>
        <w:rPr>
          <w:rFonts w:hint="eastAsia"/>
          <w:sz w:val="21"/>
          <w:szCs w:val="21"/>
        </w:rPr>
        <w:fldChar w:fldCharType="begin"/>
      </w:r>
      <w:r>
        <w:rPr>
          <w:rFonts w:hint="eastAsia"/>
          <w:sz w:val="21"/>
          <w:szCs w:val="21"/>
        </w:rPr>
        <w:instrText xml:space="preserve"> HYPERLINK "http://www.ndrc.gov.cn/zcfb/zcfbtz/201901/W020190129289300711236.pdf" \t "http://www.ndrc.gov.cn/zcfb/zcfbtz/201901/_blank" </w:instrText>
      </w:r>
      <w:r>
        <w:rPr>
          <w:rFonts w:hint="eastAsia"/>
          <w:sz w:val="21"/>
          <w:szCs w:val="21"/>
        </w:rPr>
        <w:fldChar w:fldCharType="separate"/>
      </w:r>
      <w:r>
        <w:rPr>
          <w:rFonts w:hint="eastAsia"/>
          <w:sz w:val="21"/>
          <w:szCs w:val="21"/>
        </w:rPr>
        <w:t>《进一步优化供给推动消费平稳增长 促进形成强大国内市场的实施方案（2019年）》</w:t>
      </w:r>
      <w:r>
        <w:rPr>
          <w:rFonts w:hint="eastAsia"/>
          <w:sz w:val="21"/>
          <w:szCs w:val="21"/>
        </w:rPr>
        <w:fldChar w:fldCharType="end"/>
      </w:r>
      <w:r>
        <w:rPr>
          <w:rFonts w:hint="eastAsia"/>
          <w:sz w:val="21"/>
          <w:szCs w:val="21"/>
        </w:rPr>
        <w:t>。现印发你们，请结合本地区本部门实际，认真抓好贯彻落实。</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rPr>
        <w:t> </w:t>
      </w:r>
    </w:p>
    <w:p>
      <w:pPr>
        <w:pStyle w:val="20"/>
        <w:spacing w:before="0" w:beforeAutospacing="0" w:after="0" w:afterAutospacing="0" w:line="360" w:lineRule="auto"/>
        <w:ind w:left="0" w:leftChars="0" w:firstLine="420" w:firstLineChars="200"/>
        <w:jc w:val="right"/>
        <w:rPr>
          <w:rFonts w:hint="eastAsia"/>
          <w:sz w:val="21"/>
          <w:szCs w:val="21"/>
        </w:rPr>
      </w:pPr>
      <w:r>
        <w:rPr>
          <w:rFonts w:hint="eastAsia"/>
          <w:sz w:val="21"/>
          <w:szCs w:val="21"/>
        </w:rPr>
        <w:t>国家发展改革委</w:t>
      </w:r>
    </w:p>
    <w:p>
      <w:pPr>
        <w:pStyle w:val="20"/>
        <w:spacing w:before="0" w:beforeAutospacing="0" w:after="0" w:afterAutospacing="0" w:line="360" w:lineRule="auto"/>
        <w:ind w:left="0" w:leftChars="0" w:firstLine="420" w:firstLineChars="200"/>
        <w:jc w:val="right"/>
        <w:rPr>
          <w:rFonts w:hint="eastAsia"/>
          <w:sz w:val="21"/>
          <w:szCs w:val="21"/>
        </w:rPr>
      </w:pPr>
      <w:r>
        <w:rPr>
          <w:rFonts w:hint="eastAsia"/>
          <w:sz w:val="21"/>
          <w:szCs w:val="21"/>
        </w:rPr>
        <w:t>工业和信息化部</w:t>
      </w:r>
    </w:p>
    <w:p>
      <w:pPr>
        <w:pStyle w:val="20"/>
        <w:spacing w:before="0" w:beforeAutospacing="0" w:after="0" w:afterAutospacing="0" w:line="360" w:lineRule="auto"/>
        <w:ind w:left="0" w:leftChars="0" w:firstLine="420" w:firstLineChars="200"/>
        <w:jc w:val="right"/>
        <w:rPr>
          <w:rFonts w:hint="eastAsia"/>
          <w:sz w:val="21"/>
          <w:szCs w:val="21"/>
        </w:rPr>
      </w:pPr>
      <w:r>
        <w:rPr>
          <w:rFonts w:hint="eastAsia"/>
          <w:sz w:val="21"/>
          <w:szCs w:val="21"/>
        </w:rPr>
        <w:t>民　　政　　部</w:t>
      </w:r>
    </w:p>
    <w:p>
      <w:pPr>
        <w:pStyle w:val="20"/>
        <w:spacing w:before="0" w:beforeAutospacing="0" w:after="0" w:afterAutospacing="0" w:line="360" w:lineRule="auto"/>
        <w:ind w:left="0" w:leftChars="0" w:firstLine="420" w:firstLineChars="200"/>
        <w:jc w:val="right"/>
        <w:rPr>
          <w:rFonts w:hint="eastAsia"/>
          <w:sz w:val="21"/>
          <w:szCs w:val="21"/>
        </w:rPr>
      </w:pPr>
      <w:r>
        <w:rPr>
          <w:rFonts w:hint="eastAsia"/>
          <w:sz w:val="21"/>
          <w:szCs w:val="21"/>
        </w:rPr>
        <w:t>财　　政　　部</w:t>
      </w:r>
    </w:p>
    <w:p>
      <w:pPr>
        <w:pStyle w:val="20"/>
        <w:spacing w:before="0" w:beforeAutospacing="0" w:after="0" w:afterAutospacing="0" w:line="360" w:lineRule="auto"/>
        <w:ind w:left="0" w:leftChars="0" w:firstLine="420" w:firstLineChars="200"/>
        <w:jc w:val="right"/>
        <w:rPr>
          <w:rFonts w:hint="eastAsia"/>
          <w:sz w:val="21"/>
          <w:szCs w:val="21"/>
        </w:rPr>
      </w:pPr>
      <w:r>
        <w:rPr>
          <w:rFonts w:hint="eastAsia"/>
          <w:sz w:val="21"/>
          <w:szCs w:val="21"/>
        </w:rPr>
        <w:t>住房城乡建设部</w:t>
      </w:r>
    </w:p>
    <w:p>
      <w:pPr>
        <w:pStyle w:val="20"/>
        <w:spacing w:before="0" w:beforeAutospacing="0" w:after="0" w:afterAutospacing="0" w:line="360" w:lineRule="auto"/>
        <w:ind w:left="0" w:leftChars="0" w:firstLine="420" w:firstLineChars="200"/>
        <w:jc w:val="right"/>
        <w:rPr>
          <w:rFonts w:hint="eastAsia"/>
          <w:sz w:val="21"/>
          <w:szCs w:val="21"/>
        </w:rPr>
      </w:pPr>
      <w:r>
        <w:rPr>
          <w:rFonts w:hint="eastAsia"/>
          <w:sz w:val="21"/>
          <w:szCs w:val="21"/>
        </w:rPr>
        <w:t>交 通 运 输 部</w:t>
      </w:r>
    </w:p>
    <w:p>
      <w:pPr>
        <w:pStyle w:val="20"/>
        <w:spacing w:before="0" w:beforeAutospacing="0" w:after="0" w:afterAutospacing="0" w:line="360" w:lineRule="auto"/>
        <w:ind w:left="0" w:leftChars="0" w:firstLine="420" w:firstLineChars="200"/>
        <w:jc w:val="right"/>
        <w:rPr>
          <w:rFonts w:hint="eastAsia"/>
          <w:sz w:val="21"/>
          <w:szCs w:val="21"/>
        </w:rPr>
      </w:pPr>
      <w:r>
        <w:rPr>
          <w:rFonts w:hint="eastAsia"/>
          <w:sz w:val="21"/>
          <w:szCs w:val="21"/>
        </w:rPr>
        <w:t>农 业 农 村 部</w:t>
      </w:r>
    </w:p>
    <w:p>
      <w:pPr>
        <w:pStyle w:val="20"/>
        <w:spacing w:before="0" w:beforeAutospacing="0" w:after="0" w:afterAutospacing="0" w:line="360" w:lineRule="auto"/>
        <w:ind w:left="0" w:leftChars="0" w:firstLine="420" w:firstLineChars="200"/>
        <w:jc w:val="right"/>
        <w:rPr>
          <w:rFonts w:hint="eastAsia"/>
          <w:sz w:val="21"/>
          <w:szCs w:val="21"/>
        </w:rPr>
      </w:pPr>
      <w:r>
        <w:rPr>
          <w:rFonts w:hint="eastAsia"/>
          <w:sz w:val="21"/>
          <w:szCs w:val="21"/>
        </w:rPr>
        <w:t>商　　务　　部</w:t>
      </w:r>
    </w:p>
    <w:p>
      <w:pPr>
        <w:pStyle w:val="20"/>
        <w:spacing w:before="0" w:beforeAutospacing="0" w:after="0" w:afterAutospacing="0" w:line="360" w:lineRule="auto"/>
        <w:ind w:left="0" w:leftChars="0" w:firstLine="420" w:firstLineChars="200"/>
        <w:jc w:val="right"/>
        <w:rPr>
          <w:rFonts w:hint="eastAsia"/>
          <w:sz w:val="21"/>
          <w:szCs w:val="21"/>
        </w:rPr>
      </w:pPr>
      <w:r>
        <w:rPr>
          <w:rFonts w:hint="eastAsia"/>
          <w:sz w:val="21"/>
          <w:szCs w:val="21"/>
        </w:rPr>
        <w:t>国家卫生健康委</w:t>
      </w:r>
    </w:p>
    <w:p>
      <w:pPr>
        <w:pStyle w:val="20"/>
        <w:spacing w:before="0" w:beforeAutospacing="0" w:after="0" w:afterAutospacing="0" w:line="360" w:lineRule="auto"/>
        <w:ind w:left="0" w:leftChars="0" w:firstLine="420" w:firstLineChars="200"/>
        <w:jc w:val="right"/>
        <w:rPr>
          <w:rFonts w:hint="eastAsia"/>
          <w:sz w:val="21"/>
          <w:szCs w:val="21"/>
        </w:rPr>
      </w:pPr>
      <w:r>
        <w:rPr>
          <w:rFonts w:hint="eastAsia"/>
          <w:sz w:val="21"/>
          <w:szCs w:val="21"/>
        </w:rPr>
        <w:t>市场监管总局</w:t>
      </w:r>
    </w:p>
    <w:p>
      <w:pPr>
        <w:pStyle w:val="20"/>
        <w:spacing w:before="0" w:beforeAutospacing="0" w:after="0" w:afterAutospacing="0" w:line="360" w:lineRule="auto"/>
        <w:ind w:left="0" w:leftChars="0" w:firstLine="420" w:firstLineChars="200"/>
        <w:jc w:val="right"/>
        <w:rPr>
          <w:rFonts w:hint="eastAsia"/>
          <w:sz w:val="21"/>
          <w:szCs w:val="21"/>
        </w:rPr>
      </w:pPr>
      <w:r>
        <w:rPr>
          <w:rFonts w:hint="eastAsia"/>
          <w:sz w:val="21"/>
          <w:szCs w:val="21"/>
        </w:rPr>
        <w:t>2019年1月28日</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p>
    <w:p>
      <w:pPr>
        <w:pStyle w:val="20"/>
        <w:spacing w:before="0" w:beforeAutospacing="0" w:after="0" w:afterAutospacing="0" w:line="360" w:lineRule="auto"/>
        <w:jc w:val="both"/>
        <w:rPr>
          <w:rFonts w:hint="default"/>
          <w:b/>
          <w:bCs/>
          <w:sz w:val="24"/>
          <w:szCs w:val="24"/>
          <w:lang w:val="en-US" w:eastAsia="zh-CN"/>
        </w:rPr>
      </w:pPr>
      <w:r>
        <w:rPr>
          <w:rFonts w:hint="eastAsia"/>
          <w:b/>
          <w:bCs/>
          <w:sz w:val="24"/>
          <w:szCs w:val="24"/>
          <w:lang w:val="en-US" w:eastAsia="zh-CN"/>
        </w:rPr>
        <w:t>进一步优化供给推动消费平稳增长促进形成强大国内市场的实施方案（2019年）</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为深入贯彻中央经济工作会议精神，加快落实《中共中央国务院关于完善促进消费体制机制进一步激发居民消费潜力的若干意见》（中发〔2018〕32号）和《完善促进消费体制机制实施方案（2018-2020年）》（国办发〔2018〕93号），着力引导企业顺应居民消费升级大趋势，加快转型升级提升供给质量和水平，以高质量的供给催生创造新的市场需求，更好满足人民群众对美好生活的向往，促进形成强大国内市场，推动消费平稳增长，特制订如下方案。</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一、多措并举促进汽车消费，更好满足居民出行需要</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一）有序推进老旧汽车报废更新。按规定放开报废汽车“五大总成”再制造再利用。有条件的地方可依托市场交易平台，对报废国三及以下排放标准汽车同时购买新车的车主，给予适当补助。对淘汰更新老旧柴油货车、推广使用新能源汽车等大气污染治理措施成效显著的地方，中央财政在安排相关资金时予以适当倾斜支持。</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二）持续优化新能源汽车补贴结构。坚持扶优扶强的导向，将更多补贴用于支持综合性能先进的新能源汽车销售，鼓励发展高技术水平新能源汽车。落实新能源货车差别化通行管理政策，提供通行便利，扩大通行范围。</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（三）促进农村汽车更新换代。有条件的地方，可对农村居民报废三轮汽车，购买3.5吨及以下货车或者1.6升及以下排量乘用车，给予适当补贴，带动农村汽车消费。</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（四）稳步推进放宽皮卡车进城限制范围。在评估河北、辽宁、河南、云南、湖北、新疆6省区放开皮卡车进城限制试点政策效果基础上，稳妥有序扩大皮卡车进城限制范围。</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（五）加快繁荣二手车市场。进一步落实全面取消二手车限迁政策，严防限迁政策出现回潮。对二手车经销企业销售二手车，落实适用销售旧货的增值税政策，依照3%征收率减按2%征收增值税。</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（六）进一步优化地方政府机动车管理措施。已实施汽车限购政策的地方，要结合本地实际情况，优化机动车限购管理措施，有条件的地方可适度盘活历年废弃的购车指标，更好满足居民汽车消费需求。</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二、补足城镇消费供给短板，更好满足城镇化和老龄化需求</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（七）加快推进老旧小区和老年家庭适老化改造。有条件的地方可对老旧小区加装电梯、无障碍通道、适老化家居环境、适老辅具等方面进行补贴，调动市场积极性。</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八）进一步满足农业转移人口市民化住房消费需求。加快发展住房租赁市场，发挥国有租赁企业对市场的引领、规范、激活和调控作用，支持专业化、机构化住房租赁企业发展。将符合条件的农业转移人口纳入住房保障范围。支持部分人口净流入、房价高、租赁需求缺口大的大中城市多渠道筹集公租房和市场租赁住房房源，将集体土地建设租赁住房作为重点支持内容。</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（九）完善托幼等配套政策鼓励居民按政策生育。鼓励地方政府通过采取提供场地、减免租金等政策措施，加大对社会力量开展3岁以下婴幼儿托育服务的支持力度。持续促进家政服务提质扩容。</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十）加强城市养老设施建设提升养老服务供给水平。加大城市养老服务用地供给，加强城市闲置资源转化利用，规划建设一批、改建扩建一批养老服务机构。升级改造大城市郊区、周边地区养老服务机构，建设一批社区医养结合服务中心，增加社区护理床位供给。</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三、促进农村消费提质升级，拉动城乡消费联动发展</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十一）着力挖掘农村网购和旅游消费潜力。充分发挥邮政系统、供销社系统和信息进村入户工程现有农村网点布局优势，引导电商企业在乡镇和农村建设服务网点，开展品牌消费、品质消费系列活动。建立健全住宿餐饮等乡村旅游和服务标准，开展休闲农业和乡村旅游精品发布推介活动。</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十二）持续畅通城乡双向联动销售渠道。鼓励地方特别是中西部地区和“三区三州”深度贫困地区政府，与电商企业开展多种形式的合作，挖掘优质特色农产品，加强品牌培育，集中展示销售。有条件的地方可针对本地优质特色农产品网络销售进行补贴。大力发展连锁化、品牌化便利店。确定一批重点城市开展城乡高效配送专项行动。</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（十三）优化农村消费市场环境。加大农村流通产品监督抽查覆盖面，强化消费领域大数据在打击假冒伪劣方面的应用，扩大农村对合格产品的消费使用。积极开展有机产品认证，提升食品农产品供给质量。</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四、加强引导支持，带动新品消费</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（十四）支持绿色、智能家电销售。有条件的地方可对产业链条长、带动系数大、节能减排协同效应明显的新型绿色、智能化家电产品销售，给予消费者适当补贴。</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（十五）促进家电产品更新换代。有条件的地方可对消费者交售旧家电（冰箱、洗衣机、空调、电视机、抽油烟机、热水器、灶具、计算机）并购买新家电产品给予适当补贴，推动高质量新产品销售。</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十六）积极开展消费扶贫带动贫困地区产品销售。各级机关、国有企事业单位、金融机构、大专院校等在同等条件下优先采购贫困地区产品，推动帮扶省市与贫困地区建立长期稳定的供销关系，鼓励民营企业采取“以购代捐”“以买代帮”等方式采购贫困地区产品和服务。</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五、扩大优质产品和服务供给，更好满足高品质消费需求</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（十七）打造中高端消费载体。改造提升重点城市步行街，加快国际消费中心城市培育建设。认定公布一批中华老字号品牌。抓紧出台商品交易市场发展平台经济的指导意见，促进商产融合。</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（十八）扩大升级信息消费。加快推出 5G 商用牌照。支持有条件的地方建设信息消费体验中心。推动开展信息消费体验周、城市行、技能培训等各类活动，推广典型案例经验，培养信息消费习惯。</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（十九）加快推进超高清视频产品消费。加大对中央和地方电视台 4K 超高清电视频道开播支持力度，丰富超高清视频内容供给。支持广电网络和电信网络升级改造，提升超高清视频传输保障能力。有条件的地方可对超高清电视、机顶盒、虚拟现实/增强现实设备等产品推广应用予以补贴，扩大超高清视频终端消费。</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（二十）促进离境退税商品销售。优化离境退税服务网点布局，鼓励增设退税商店，研究完善退税代理机构条件，提高离境退税服务便利化水平。</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六、完善政策体系，进一步优化消费市场环境</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二十一）持续完善消费基础设施。推进实施中小城市、农村以及边远地区、林牧区、海岛等区域基础网络完善工程，进一步为扩大和升级信息消费提供支撑。加快补齐道路、停车场、能源、电信、物流、新能源汽车充电设施等方面建设短板，推进厕所革命、垃圾和污水治理等农村人居环境整治。</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lang w:val="en-US" w:eastAsia="zh-CN"/>
        </w:rPr>
        <w:t>（二十二）加强质量认证体系建设。充分发挥质量认证保障安全底线，对涉及人身健康、安全环保的产品实行强制性认证，将防爆电器、家用燃气具、500 升以上大冰箱等3类产品列入强制性产品认证目录范围，推进落实强制性产品认证改革方案，促进认证制度简捷便利。鼓励企业开展自愿认证，健全认证采信机制。</w:t>
      </w:r>
    </w:p>
    <w:p>
      <w:pPr>
        <w:pStyle w:val="20"/>
        <w:spacing w:before="0" w:beforeAutospacing="0" w:after="0" w:afterAutospacing="0" w:line="360" w:lineRule="auto"/>
        <w:ind w:left="0" w:leftChars="0" w:firstLine="420" w:firstLineChars="200"/>
        <w:jc w:val="both"/>
        <w:rPr>
          <w:rFonts w:hint="eastAsia"/>
          <w:sz w:val="21"/>
          <w:szCs w:val="21"/>
        </w:rPr>
      </w:pPr>
      <w:r>
        <w:rPr>
          <w:rFonts w:hint="eastAsia"/>
          <w:sz w:val="21"/>
          <w:szCs w:val="21"/>
          <w:lang w:val="en-US" w:eastAsia="zh-CN"/>
        </w:rPr>
        <w:t>（二十三）持续深化收入分配改革。全面实施修改后的个人所得税法及其实施条例，落实好专项附加扣除政策。进一步提高相对低收入群体的待遇。</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二十四）进一步加大消费者权益保护力度。深入开展放心消费创建活动，推动大型零售企业进行线下购物无理由退货制度试点。运用多种方式和载体，全面启动消费投诉公示工作，督促经营者诚信经营。联合开展消费者个人信息保护和预付卡治理专项行动，净化消费环境。各地区各部门要充分认识优化供给、推动消费平稳增长对促进形成强大国内市场、满足人民群众日益增长的美好生活需要具有重要意义，切实强化组织领导，突出保障协调，推动政策切实落地生效。</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p>
    <w:p>
      <w:pPr>
        <w:pStyle w:val="20"/>
        <w:spacing w:before="0" w:beforeAutospacing="0" w:after="0" w:afterAutospacing="0" w:line="360" w:lineRule="auto"/>
        <w:ind w:left="0" w:leftChars="0" w:firstLine="420" w:firstLineChars="200"/>
        <w:jc w:val="both"/>
        <w:rPr>
          <w:rFonts w:hint="eastAsia"/>
          <w:sz w:val="21"/>
          <w:szCs w:val="21"/>
          <w:lang w:val="en-US" w:eastAsia="zh-CN"/>
        </w:rPr>
      </w:pPr>
    </w:p>
    <w:p>
      <w:pPr>
        <w:pStyle w:val="20"/>
        <w:spacing w:before="0" w:beforeAutospacing="0" w:after="0" w:afterAutospacing="0" w:line="360" w:lineRule="auto"/>
        <w:ind w:left="0" w:leftChars="0" w:firstLine="420" w:firstLineChars="200"/>
        <w:jc w:val="both"/>
        <w:rPr>
          <w:rFonts w:hint="eastAsia"/>
          <w:sz w:val="21"/>
          <w:szCs w:val="21"/>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Times New Roman"/>
          <w:b/>
          <w:bCs/>
          <w:kern w:val="2"/>
          <w:sz w:val="28"/>
          <w:szCs w:val="28"/>
          <w:lang w:val="en-US" w:eastAsia="zh-CN" w:bidi="ar-SA"/>
        </w:rPr>
      </w:pPr>
      <w:bookmarkStart w:id="86" w:name="_Toc22036"/>
      <w:r>
        <w:rPr>
          <w:rFonts w:hint="eastAsia" w:ascii="宋体" w:hAnsi="宋体" w:eastAsia="宋体" w:cs="Times New Roman"/>
          <w:b/>
          <w:bCs/>
          <w:kern w:val="2"/>
          <w:sz w:val="28"/>
          <w:szCs w:val="28"/>
          <w:lang w:val="en-US" w:eastAsia="zh-CN" w:bidi="ar-SA"/>
        </w:rPr>
        <w:t>关于进一步支持和促进重点群体创业就业有关税收政策的通知</w:t>
      </w:r>
      <w:bookmarkEnd w:id="86"/>
      <w:r>
        <w:rPr>
          <w:rFonts w:hint="eastAsia" w:ascii="宋体" w:hAnsi="宋体" w:eastAsia="宋体" w:cs="Times New Roman"/>
          <w:b/>
          <w:bCs/>
          <w:kern w:val="2"/>
          <w:sz w:val="28"/>
          <w:szCs w:val="28"/>
          <w:lang w:val="en-US" w:eastAsia="zh-CN" w:bidi="ar-SA"/>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　　</w:t>
      </w:r>
      <w:bookmarkStart w:id="87" w:name="_Toc28424"/>
      <w:r>
        <w:rPr>
          <w:rFonts w:hint="eastAsia" w:ascii="宋体" w:hAnsi="宋体" w:eastAsia="宋体" w:cs="Times New Roman"/>
          <w:b w:val="0"/>
          <w:bCs w:val="0"/>
          <w:kern w:val="2"/>
          <w:sz w:val="24"/>
          <w:szCs w:val="24"/>
          <w:lang w:val="en-US" w:eastAsia="zh-CN" w:bidi="ar-SA"/>
        </w:rPr>
        <w:t>财税〔2019〕22号</w:t>
      </w:r>
      <w:bookmarkEnd w:id="87"/>
    </w:p>
    <w:p>
      <w:pPr>
        <w:pStyle w:val="20"/>
        <w:spacing w:before="0" w:beforeAutospacing="0" w:after="0" w:afterAutospacing="0" w:line="360" w:lineRule="auto"/>
        <w:jc w:val="both"/>
        <w:rPr>
          <w:rFonts w:hint="eastAsia"/>
          <w:sz w:val="21"/>
          <w:szCs w:val="21"/>
          <w:lang w:val="en-US" w:eastAsia="zh-CN"/>
        </w:rPr>
      </w:pPr>
    </w:p>
    <w:p>
      <w:pPr>
        <w:pStyle w:val="20"/>
        <w:spacing w:before="0" w:beforeAutospacing="0" w:after="0" w:afterAutospacing="0" w:line="360" w:lineRule="auto"/>
        <w:jc w:val="both"/>
        <w:rPr>
          <w:rFonts w:hint="eastAsia"/>
          <w:sz w:val="21"/>
          <w:szCs w:val="21"/>
          <w:lang w:val="en-US" w:eastAsia="zh-CN"/>
        </w:rPr>
      </w:pPr>
      <w:r>
        <w:rPr>
          <w:rFonts w:hint="eastAsia"/>
          <w:sz w:val="21"/>
          <w:szCs w:val="21"/>
          <w:lang w:val="en-US" w:eastAsia="zh-CN"/>
        </w:rPr>
        <w:t>各省、自治区、直辖市、计划单列市财政厅（局）、人力资源社会保障厅（局）、扶贫办，国家税务总局各省、自治区、直辖市、计划单列市税务局，新疆生产建设兵团财政局、人力资源社会保障局、扶贫办：</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为进一步支持和促进重点群体创业就业，现将有关税收政策通知如下：</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一、建档立卡贫困人口、持《就业创业证》（注明“自主创业税收政策”或“毕业年度内自主创业税收政策”）或《就业失业登记证》（注明“自主创业税收政策”）的人员，从事个体经营的，自办理个体工商户登记当月起，在3年（36个月，下同）内按每户每年12000元为限额依次扣减其当年实际应缴纳的增值税、城市维护建设税、教育费附加、地方教育附加和个人所得税。限额标准最高可上浮20%，各省、自治区、直辖市人民政府可根据本地区实际情况在此幅度内确定具体限额标准。</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纳税人年度应缴纳税款小于上述扣减限额的，减免税额以其实际缴纳的税款为限；大于上述扣减限额的，以上述扣减限额为限。</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上述人员具体包括：1.纳入全国扶贫开发信息系统的建档立卡贫困人口；2.在人力资源社会保障部门公共就业服务机构登记失业半年以上的人员；3.零就业家庭、享受城市居民最低生活保障家庭劳动年龄内的登记失业人员；4.毕业年度内高校毕业生。高校毕业生是指实施高等学历教育的普通高等学校、成人高等学校应届毕业的学生；毕业年度是指毕业所在自然年，即1月1日至12月31日。</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二、企业招用建档立卡贫困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30%，各省、自治区、直辖市人民政府可根据本地区实际情况在此幅度内确定具体定额标准。城市维护建设税、教育费附加、地方教育附加的计税依据是享受本项税收优惠政策前的增值税应纳税额。</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按上述标准计算的税收扣减额应在企业当年实际应缴纳的增值税、城市维护建设税、教育费附加、地方教育附加和企业所得税税额中扣减，当年扣减不完的，不得结转下年使用。</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本通知所称企业是指属于增值税纳税人或企业所得税纳税人的企业等单位。</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三、国务院扶贫办在每年1月15日前将建档立卡贫困人口名单及相关信息提供给人力资源社会保障部、税务总局，税务总局将相关信息转发给各省、自治区、直辖市税务部门。人力资源社会保障部门依托全国扶贫开发信息系统核实建档立卡贫困人口身份信息。</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四、企业招用就业人员既可以适用本通知规定的税收优惠政策，又可以适用其他扶持就业专项税收优惠政策的，企业可以选择适用最优惠的政策，但不得重复享受。</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五、本通知规定的税收政策执行期限为2019年1月1日至2021年12月31日。纳税人在2021年12月31日享受本通知规定税收优惠政策未满3年的，可继续享受至3年期满为止。《财政部 税务总局 人力资源社会保障部关于继续实施支持和促进重点群体创业就业有关税收政策的通知》（财税〔2017〕49号）自2019年1月1日起停止执行。</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本通知所述人员，以前年度已享受重点群体创业就业税收优惠政策满3年的，不得再享受本通知规定的税收优惠政策；以前年度享受重点群体创业就业税收优惠政策未满3年且符合本通知规定条件的，可按本通知规定享受优惠至3年期满。</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各地财政、税务、人力资源社会保障部门、扶贫办要加强领导、周密部署，把大力支持和促进重点群体创业就业工作作为一项重要任务，主动做好政策宣传和解释工作，加强部门间的协调配合，确保政策落实到位。同时，要密切关注税收政策的执行情况，对发现的问题及时逐级向财政部、税务总局、人力资源社会保障部、国务院扶贫办反映。</w:t>
      </w:r>
    </w:p>
    <w:p>
      <w:pPr>
        <w:pStyle w:val="20"/>
        <w:spacing w:before="0" w:beforeAutospacing="0" w:after="0" w:afterAutospacing="0" w:line="360" w:lineRule="auto"/>
        <w:ind w:left="0" w:leftChars="0" w:firstLine="420" w:firstLineChars="200"/>
        <w:jc w:val="right"/>
        <w:rPr>
          <w:rFonts w:hint="eastAsia"/>
          <w:sz w:val="21"/>
          <w:szCs w:val="21"/>
          <w:lang w:val="en-US" w:eastAsia="zh-CN"/>
        </w:rPr>
      </w:pPr>
      <w:r>
        <w:rPr>
          <w:rFonts w:hint="eastAsia"/>
          <w:sz w:val="21"/>
          <w:szCs w:val="21"/>
          <w:lang w:val="en-US" w:eastAsia="zh-CN"/>
        </w:rPr>
        <w:t>　　财 政 部 税务总局</w:t>
      </w:r>
    </w:p>
    <w:p>
      <w:pPr>
        <w:pStyle w:val="20"/>
        <w:spacing w:before="0" w:beforeAutospacing="0" w:after="0" w:afterAutospacing="0" w:line="360" w:lineRule="auto"/>
        <w:ind w:left="0" w:leftChars="0" w:firstLine="420" w:firstLineChars="200"/>
        <w:jc w:val="right"/>
        <w:rPr>
          <w:rFonts w:hint="eastAsia"/>
          <w:sz w:val="21"/>
          <w:szCs w:val="21"/>
          <w:lang w:val="en-US" w:eastAsia="zh-CN"/>
        </w:rPr>
      </w:pPr>
      <w:r>
        <w:rPr>
          <w:rFonts w:hint="eastAsia"/>
          <w:sz w:val="21"/>
          <w:szCs w:val="21"/>
          <w:lang w:val="en-US" w:eastAsia="zh-CN"/>
        </w:rPr>
        <w:t>　　人力资源社会保障部 国务院扶贫办</w:t>
      </w:r>
    </w:p>
    <w:p>
      <w:pPr>
        <w:pStyle w:val="20"/>
        <w:spacing w:before="0" w:beforeAutospacing="0" w:after="0" w:afterAutospacing="0" w:line="360" w:lineRule="auto"/>
        <w:ind w:left="0" w:leftChars="0" w:firstLine="420" w:firstLineChars="200"/>
        <w:jc w:val="right"/>
        <w:rPr>
          <w:rFonts w:hint="eastAsia"/>
          <w:sz w:val="21"/>
          <w:szCs w:val="21"/>
          <w:lang w:val="en-US" w:eastAsia="zh-CN"/>
        </w:rPr>
      </w:pPr>
      <w:r>
        <w:rPr>
          <w:rFonts w:hint="eastAsia"/>
          <w:sz w:val="21"/>
          <w:szCs w:val="21"/>
          <w:lang w:val="en-US" w:eastAsia="zh-CN"/>
        </w:rPr>
        <w:t>　　2019年2月2日</w:t>
      </w:r>
    </w:p>
    <w:p>
      <w:pPr>
        <w:keepNext w:val="0"/>
        <w:keepLines w:val="0"/>
        <w:widowControl/>
        <w:suppressLineNumbers w:val="0"/>
        <w:spacing w:line="432" w:lineRule="auto"/>
        <w:jc w:val="left"/>
        <w:rPr>
          <w:rFonts w:hint="eastAsia" w:ascii="宋体" w:hAnsi="宋体" w:eastAsia="宋体" w:cs="宋体"/>
          <w:vanish/>
          <w:sz w:val="19"/>
          <w:szCs w:val="19"/>
        </w:rPr>
      </w:pPr>
      <w:r>
        <w:rPr>
          <w:rFonts w:hint="eastAsia" w:ascii="宋体" w:hAnsi="宋体" w:eastAsia="宋体" w:cs="宋体"/>
          <w:vanish/>
          <w:kern w:val="0"/>
          <w:sz w:val="19"/>
          <w:szCs w:val="19"/>
          <w:lang w:val="en-US" w:eastAsia="zh-CN" w:bidi="ar"/>
        </w:rPr>
        <w:t xml:space="preserve">  </w:t>
      </w:r>
    </w:p>
    <w:p>
      <w:pPr>
        <w:keepNext w:val="0"/>
        <w:keepLines w:val="0"/>
        <w:widowControl/>
        <w:suppressLineNumbers w:val="0"/>
        <w:tabs>
          <w:tab w:val="left" w:pos="807"/>
        </w:tabs>
        <w:spacing w:line="432" w:lineRule="auto"/>
        <w:jc w:val="left"/>
        <w:rPr>
          <w:rFonts w:hint="eastAsia" w:ascii="宋体" w:hAnsi="宋体" w:eastAsia="宋体" w:cs="宋体"/>
          <w:vanish/>
          <w:sz w:val="19"/>
          <w:szCs w:val="19"/>
        </w:rPr>
      </w:pPr>
      <w:r>
        <w:rPr>
          <w:rFonts w:hint="eastAsia" w:ascii="宋体" w:hAnsi="宋体" w:eastAsia="宋体" w:cs="宋体"/>
          <w:vanish/>
          <w:sz w:val="19"/>
          <w:szCs w:val="19"/>
        </w:rPr>
        <w:t>附件下载:</w:t>
      </w:r>
      <w:r>
        <w:rPr>
          <w:vanish/>
        </w:rPr>
        <w:tab/>
      </w:r>
      <w:r>
        <w:rPr>
          <w:rFonts w:hint="eastAsia" w:ascii="宋体" w:hAnsi="宋体" w:eastAsia="宋体" w:cs="宋体"/>
          <w:vanish/>
          <w:kern w:val="0"/>
          <w:sz w:val="19"/>
          <w:szCs w:val="19"/>
          <w:lang w:val="en-US" w:eastAsia="zh-CN" w:bidi="ar"/>
        </w:rPr>
        <w:t xml:space="preserve">  </w:t>
      </w:r>
    </w:p>
    <w:p>
      <w:pPr>
        <w:jc w:val="center"/>
        <w:rPr>
          <w:rFonts w:hint="eastAsia" w:ascii="宋体" w:hAnsi="宋体" w:eastAsia="宋体" w:cs="宋体"/>
          <w:sz w:val="14"/>
          <w:szCs w:val="14"/>
        </w:rPr>
      </w:pPr>
    </w:p>
    <w:p>
      <w:pPr>
        <w:jc w:val="center"/>
        <w:rPr>
          <w:rFonts w:hint="eastAsia" w:ascii="宋体" w:hAnsi="宋体" w:eastAsia="宋体" w:cs="宋体"/>
          <w:sz w:val="14"/>
          <w:szCs w:val="14"/>
        </w:rPr>
      </w:pPr>
    </w:p>
    <w:p>
      <w:pPr>
        <w:jc w:val="center"/>
        <w:rPr>
          <w:rFonts w:hint="eastAsia" w:ascii="宋体" w:hAnsi="宋体" w:eastAsia="宋体" w:cs="宋体"/>
          <w:sz w:val="14"/>
          <w:szCs w:val="14"/>
        </w:rPr>
      </w:pPr>
    </w:p>
    <w:p>
      <w:pPr>
        <w:jc w:val="center"/>
        <w:rPr>
          <w:rFonts w:hint="eastAsia" w:ascii="宋体" w:hAnsi="宋体" w:eastAsia="宋体" w:cs="宋体"/>
          <w:sz w:val="14"/>
          <w:szCs w:val="14"/>
        </w:rPr>
      </w:pPr>
    </w:p>
    <w:p>
      <w:pPr>
        <w:jc w:val="center"/>
        <w:rPr>
          <w:rFonts w:hint="eastAsia" w:ascii="宋体" w:hAnsi="宋体" w:eastAsia="宋体" w:cs="宋体"/>
          <w:sz w:val="14"/>
          <w:szCs w:val="14"/>
        </w:rPr>
      </w:pPr>
    </w:p>
    <w:p>
      <w:pPr>
        <w:jc w:val="center"/>
        <w:rPr>
          <w:rFonts w:hint="eastAsia" w:ascii="宋体" w:hAnsi="宋体" w:eastAsia="宋体" w:cs="宋体"/>
          <w:sz w:val="14"/>
          <w:szCs w:val="1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Times New Roman"/>
          <w:b/>
          <w:bCs/>
          <w:kern w:val="2"/>
          <w:sz w:val="28"/>
          <w:szCs w:val="28"/>
          <w:lang w:val="en-US" w:eastAsia="zh-CN" w:bidi="ar-SA"/>
        </w:rPr>
      </w:pPr>
      <w:bookmarkStart w:id="88" w:name="_Toc8223"/>
      <w:r>
        <w:rPr>
          <w:rFonts w:hint="eastAsia" w:ascii="宋体" w:hAnsi="宋体" w:eastAsia="宋体" w:cs="Times New Roman"/>
          <w:b/>
          <w:bCs/>
          <w:kern w:val="2"/>
          <w:sz w:val="28"/>
          <w:szCs w:val="28"/>
          <w:lang w:val="en-US" w:eastAsia="zh-CN" w:bidi="ar-SA"/>
        </w:rPr>
        <w:t>关于继续实施支持文化企业发展增值税政策的通知</w:t>
      </w:r>
      <w:bookmarkEnd w:id="88"/>
      <w:r>
        <w:rPr>
          <w:rFonts w:hint="eastAsia" w:ascii="宋体" w:hAnsi="宋体" w:eastAsia="宋体" w:cs="Times New Roman"/>
          <w:b/>
          <w:bCs/>
          <w:kern w:val="2"/>
          <w:sz w:val="28"/>
          <w:szCs w:val="28"/>
          <w:lang w:val="en-US" w:eastAsia="zh-CN" w:bidi="ar-SA"/>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Times New Roman"/>
          <w:b w:val="0"/>
          <w:bCs w:val="0"/>
          <w:kern w:val="2"/>
          <w:sz w:val="24"/>
          <w:szCs w:val="24"/>
          <w:lang w:val="en-US" w:eastAsia="zh-CN" w:bidi="ar-SA"/>
        </w:rPr>
      </w:pPr>
      <w:bookmarkStart w:id="89" w:name="_Toc31538"/>
      <w:r>
        <w:rPr>
          <w:rFonts w:hint="eastAsia" w:ascii="宋体" w:hAnsi="宋体" w:eastAsia="宋体" w:cs="Times New Roman"/>
          <w:b w:val="0"/>
          <w:bCs w:val="0"/>
          <w:kern w:val="2"/>
          <w:sz w:val="24"/>
          <w:szCs w:val="24"/>
          <w:lang w:val="en-US" w:eastAsia="zh-CN" w:bidi="ar-SA"/>
        </w:rPr>
        <w:t>财税〔2019〕17号</w:t>
      </w:r>
      <w:bookmarkEnd w:id="89"/>
    </w:p>
    <w:p>
      <w:pPr>
        <w:pStyle w:val="20"/>
        <w:spacing w:before="0" w:beforeAutospacing="0" w:after="0" w:afterAutospacing="0" w:line="360" w:lineRule="auto"/>
        <w:jc w:val="both"/>
        <w:rPr>
          <w:rFonts w:hint="eastAsia"/>
          <w:sz w:val="21"/>
          <w:szCs w:val="21"/>
          <w:lang w:val="en-US" w:eastAsia="zh-CN"/>
        </w:rPr>
      </w:pPr>
      <w:r>
        <w:rPr>
          <w:rFonts w:hint="eastAsia"/>
          <w:sz w:val="21"/>
          <w:szCs w:val="21"/>
          <w:lang w:val="en-US" w:eastAsia="zh-CN"/>
        </w:rPr>
        <w:t>各省、自治区、直辖市、计划单列市财政厅（局），新疆生产建设兵团财政局，国家税务总局各省、自治区、直辖市、计划单列市税务局：</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为贯彻落实《国务院办公厅关于印发文化体制改革中经营性文化事业单位转制为企业和进一步支持文化企业发展两个规定的通知》（国办发〔2018〕124号）有关规定，进一步深化文化体制改革，促进文化企业发展，现就继续实施支持文化企业发展的增值税政策通知如下：</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一、对电影主管部门（包括中央、省、地市及县级）按照各自职能权限批准从事电影制片、发行、放映的电影集团公司（含成员企业）、电影制片厂及其他电影企业取得的销售电影拷贝（含数字拷贝）收入、转让电影版权（包括转让和许可使用）收入、电影发行收入以及在农村取得的电影放映收入，免征增值税。一般纳税人提供的城市电影放映服务，可以按现行政策规定，选择按照简易计税办法计算缴纳增值税。</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二、对广播电视运营服务企业收取的有线数字电视基本收视维护费和农村有线电视基本收视费，免征增值税。</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三、本通知执行期限为2019年1月1日至2023年12月31日。《财政部 税务总局关于继续执行有线电视收视费增值税政策的通知》（财税〔2017〕35号）同时废止。《财政部 税务总局关于继续实施支持文化企业发展若干税收政策的通知》（财税〔2014〕85号）自2019年1月1日起停止执行。</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文化企业按照本通知规定应予减免的增值税税款，在本通知下发以前已经征收入库的，可抵减以后纳税期应缴税款或办理退库。</w:t>
      </w:r>
    </w:p>
    <w:p>
      <w:pPr>
        <w:pStyle w:val="20"/>
        <w:spacing w:before="0" w:beforeAutospacing="0" w:after="0" w:afterAutospacing="0" w:line="360" w:lineRule="auto"/>
        <w:ind w:left="0" w:leftChars="0" w:firstLine="420" w:firstLineChars="200"/>
        <w:jc w:val="right"/>
        <w:rPr>
          <w:rFonts w:hint="eastAsia"/>
          <w:sz w:val="21"/>
          <w:szCs w:val="21"/>
          <w:lang w:val="en-US" w:eastAsia="zh-CN"/>
        </w:rPr>
      </w:pPr>
      <w:r>
        <w:rPr>
          <w:rFonts w:hint="eastAsia"/>
          <w:sz w:val="21"/>
          <w:szCs w:val="21"/>
          <w:lang w:val="en-US" w:eastAsia="zh-CN"/>
        </w:rPr>
        <w:t>　　财政部   税务总局</w:t>
      </w:r>
    </w:p>
    <w:p>
      <w:pPr>
        <w:pStyle w:val="20"/>
        <w:spacing w:before="0" w:beforeAutospacing="0" w:after="0" w:afterAutospacing="0" w:line="360" w:lineRule="auto"/>
        <w:ind w:left="0" w:leftChars="0" w:firstLine="420" w:firstLineChars="200"/>
        <w:jc w:val="right"/>
        <w:rPr>
          <w:rFonts w:hint="eastAsia"/>
          <w:sz w:val="21"/>
          <w:szCs w:val="21"/>
          <w:lang w:val="en-US" w:eastAsia="zh-CN"/>
        </w:rPr>
      </w:pPr>
      <w:r>
        <w:rPr>
          <w:rFonts w:hint="eastAsia"/>
          <w:sz w:val="21"/>
          <w:szCs w:val="21"/>
          <w:lang w:val="en-US" w:eastAsia="zh-CN"/>
        </w:rPr>
        <w:t>　　2019年2月13日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Times New Roman"/>
          <w:b/>
          <w:bCs/>
          <w:kern w:val="2"/>
          <w:sz w:val="28"/>
          <w:szCs w:val="28"/>
          <w:lang w:val="en-US" w:eastAsia="zh-CN" w:bidi="ar-SA"/>
        </w:rPr>
      </w:pPr>
    </w:p>
    <w:p>
      <w:pPr>
        <w:rPr>
          <w:rFonts w:hint="eastAsia" w:ascii="宋体" w:hAnsi="宋体" w:eastAsia="宋体" w:cs="Times New Roman"/>
          <w:b/>
          <w:bCs/>
          <w:kern w:val="2"/>
          <w:sz w:val="28"/>
          <w:szCs w:val="28"/>
          <w:lang w:val="en-US" w:eastAsia="zh-CN" w:bidi="ar-SA"/>
        </w:rPr>
      </w:pPr>
    </w:p>
    <w:p>
      <w:pPr>
        <w:rPr>
          <w:rFonts w:hint="eastAsia" w:ascii="宋体" w:hAnsi="宋体" w:eastAsia="宋体" w:cs="Times New Roman"/>
          <w:b/>
          <w:bCs/>
          <w:kern w:val="2"/>
          <w:sz w:val="28"/>
          <w:szCs w:val="28"/>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Times New Roman"/>
          <w:b/>
          <w:bCs/>
          <w:kern w:val="2"/>
          <w:sz w:val="28"/>
          <w:szCs w:val="28"/>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Times New Roman"/>
          <w:b/>
          <w:bCs/>
          <w:kern w:val="2"/>
          <w:sz w:val="28"/>
          <w:szCs w:val="28"/>
          <w:lang w:val="en-US" w:eastAsia="zh-CN" w:bidi="ar-SA"/>
        </w:rPr>
      </w:pPr>
      <w:bookmarkStart w:id="90" w:name="_Toc14436"/>
      <w:r>
        <w:rPr>
          <w:rFonts w:hint="eastAsia" w:ascii="宋体" w:hAnsi="宋体" w:eastAsia="宋体" w:cs="Times New Roman"/>
          <w:b/>
          <w:bCs/>
          <w:kern w:val="2"/>
          <w:sz w:val="28"/>
          <w:szCs w:val="28"/>
          <w:lang w:val="en-US" w:eastAsia="zh-CN" w:bidi="ar-SA"/>
        </w:rPr>
        <w:t>工业和信息化部办公厅 教育部办公厅关于开展2019年中小企业与高校毕业生创业就业对接服务工作的通知</w:t>
      </w:r>
      <w:bookmarkEnd w:id="9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　　</w:t>
      </w:r>
      <w:bookmarkStart w:id="91" w:name="_Toc2370"/>
      <w:r>
        <w:rPr>
          <w:rFonts w:hint="eastAsia" w:ascii="宋体" w:hAnsi="宋体" w:eastAsia="宋体" w:cs="Times New Roman"/>
          <w:b w:val="0"/>
          <w:bCs w:val="0"/>
          <w:kern w:val="2"/>
          <w:sz w:val="24"/>
          <w:szCs w:val="24"/>
          <w:lang w:val="en-US" w:eastAsia="zh-CN" w:bidi="ar-SA"/>
        </w:rPr>
        <w:t>工信厅联企业〔2019〕8号</w:t>
      </w:r>
      <w:bookmarkEnd w:id="91"/>
    </w:p>
    <w:p>
      <w:pPr>
        <w:pStyle w:val="20"/>
        <w:spacing w:before="0" w:beforeAutospacing="0" w:after="0" w:afterAutospacing="0" w:line="360" w:lineRule="auto"/>
        <w:jc w:val="both"/>
        <w:rPr>
          <w:rFonts w:hint="default"/>
          <w:sz w:val="21"/>
          <w:szCs w:val="21"/>
          <w:lang w:val="en-US" w:eastAsia="zh-CN"/>
        </w:rPr>
      </w:pPr>
    </w:p>
    <w:p>
      <w:pPr>
        <w:pStyle w:val="20"/>
        <w:spacing w:before="0" w:beforeAutospacing="0" w:after="0" w:afterAutospacing="0" w:line="360" w:lineRule="auto"/>
        <w:jc w:val="both"/>
        <w:rPr>
          <w:rFonts w:hint="eastAsia"/>
          <w:sz w:val="21"/>
          <w:szCs w:val="21"/>
          <w:lang w:val="en-US" w:eastAsia="zh-CN"/>
        </w:rPr>
      </w:pPr>
      <w:r>
        <w:rPr>
          <w:rFonts w:hint="default"/>
          <w:sz w:val="21"/>
          <w:szCs w:val="21"/>
          <w:lang w:val="en-US" w:eastAsia="zh-CN"/>
        </w:rPr>
        <w:t>各省、自治区、直辖市及计划单列市、新疆生产建设兵团中小企业主管部门、教育厅（教委、教育局），有关省、自治区、直辖市人社厅（局）</w:t>
      </w:r>
      <w:r>
        <w:rPr>
          <w:rFonts w:hint="default"/>
          <w:sz w:val="21"/>
          <w:szCs w:val="21"/>
          <w:lang w:val="en-US" w:eastAsia="zh-CN"/>
        </w:rPr>
        <w:br w:type="textWrapping"/>
      </w:r>
      <w:r>
        <w:rPr>
          <w:rFonts w:hint="default"/>
          <w:sz w:val="21"/>
          <w:szCs w:val="21"/>
          <w:lang w:val="en-US" w:eastAsia="zh-CN"/>
        </w:rPr>
        <w:t>　　为贯彻落实党的十九大精神，促进高校毕业生多渠道创业就业，进一步引导和鼓励高校毕业生到中小企业工作，优化中小企业人才结构，推动中小企业高质量发展，现将2019年开展中小企业与高校毕业生创业就业对接服务有关工作通知如下：</w:t>
      </w:r>
      <w:r>
        <w:rPr>
          <w:rFonts w:hint="default"/>
          <w:sz w:val="21"/>
          <w:szCs w:val="21"/>
          <w:lang w:val="en-US" w:eastAsia="zh-CN"/>
        </w:rPr>
        <w:br w:type="textWrapping"/>
      </w:r>
      <w:r>
        <w:rPr>
          <w:rFonts w:hint="default"/>
          <w:sz w:val="21"/>
          <w:szCs w:val="21"/>
          <w:lang w:val="en-US" w:eastAsia="zh-CN"/>
        </w:rPr>
        <w:t>　　一、继续联合举办“2019年全国中小企业网上百日招聘高校毕业生活动”（以下简称百日招聘）。时间为2019年3月1日至6月10日，在中国中小企业信息网（sme.miit.gov.cn）和全国大学生就业公共服务立体化平台（新职业网www.ncss.cn）共设百日招聘页面，开辟活动专栏，免费发布用人单位招聘信息及毕业生求职信息。各地中小企业主管部门和高校毕业生就业工作部门应在本级门户网站上设置链接（图片在上述网站活动专栏下载）；及时将本通知转发至本行政区域内下属单位；利用微博、微信等新媒体加大百日招聘活动宣传力度；积极组织中小企业、高校毕业生、各类创业就业服务机构等参加招聘活动。</w:t>
      </w:r>
      <w:r>
        <w:rPr>
          <w:rFonts w:hint="default"/>
          <w:sz w:val="21"/>
          <w:szCs w:val="21"/>
          <w:lang w:val="en-US" w:eastAsia="zh-CN"/>
        </w:rPr>
        <w:br w:type="textWrapping"/>
      </w:r>
      <w:r>
        <w:rPr>
          <w:rFonts w:hint="default"/>
          <w:sz w:val="21"/>
          <w:szCs w:val="21"/>
          <w:lang w:val="en-US" w:eastAsia="zh-CN"/>
        </w:rPr>
        <w:t>　　二、集聚资源奠定工作基础。各地中小企业主管部门要认真组织和帮助本地中小企业开展高校毕业生招聘工作，继续推动创建各类中小企业信息库（中小企业信息库包含但不限于：企业基本情况、招聘岗位、招聘人数、招聘区域等企业招聘和享受优惠政策所需要提供的信息）。各地高校毕业生就业工作部门要认真梳理汇总有就业需求的高校毕业生信息，继续推动创建各类高校毕业生信息库（高校毕业生信息库包含但不限于：创业就业人员基本信息、就业诉求、岗位需求、就业区域等高校毕业生应聘和享受优惠政策所需要提供的信息）。</w:t>
      </w:r>
      <w:r>
        <w:rPr>
          <w:rFonts w:hint="default"/>
          <w:sz w:val="21"/>
          <w:szCs w:val="21"/>
          <w:lang w:val="en-US" w:eastAsia="zh-CN"/>
        </w:rPr>
        <w:br w:type="textWrapping"/>
      </w:r>
      <w:r>
        <w:rPr>
          <w:rFonts w:hint="default"/>
          <w:sz w:val="21"/>
          <w:szCs w:val="21"/>
          <w:lang w:val="en-US" w:eastAsia="zh-CN"/>
        </w:rPr>
        <w:t>　　三、组织企业进校园。为提高高校毕业生与企业对接成功率，各地中小企业主管部门和高校毕业生就业工作部门可根据当地实际情况，组织企业走进校园，举办校园现场招聘。各地中小企业主管部门要结合本地区院校分布、高校毕业生生源及就业意向等情况，推荐优质园区企业及“专精特新”企业，通过网络、现场、入校等线上线下各类招聘形式，与高校毕业生实现对接。</w:t>
      </w:r>
      <w:r>
        <w:rPr>
          <w:rFonts w:hint="default"/>
          <w:sz w:val="21"/>
          <w:szCs w:val="21"/>
          <w:lang w:val="en-US" w:eastAsia="zh-CN"/>
        </w:rPr>
        <w:br w:type="textWrapping"/>
      </w:r>
      <w:r>
        <w:rPr>
          <w:rFonts w:hint="default"/>
          <w:sz w:val="21"/>
          <w:szCs w:val="21"/>
          <w:lang w:val="en-US" w:eastAsia="zh-CN"/>
        </w:rPr>
        <w:t>　　四、各地中小企业主管部门和高校毕业生就业工作部门要围绕政策服务、创业服务、融资服务、培训服务等方面，整合各类服务资源，整合中小企业、高校毕业生资源，依托各类中小企业与高校毕业生创业就业对接服务窗口，为高校毕业生和创业者提供便捷有效服务。</w:t>
      </w:r>
      <w:r>
        <w:rPr>
          <w:rFonts w:hint="default"/>
          <w:sz w:val="21"/>
          <w:szCs w:val="21"/>
          <w:lang w:val="en-US" w:eastAsia="zh-CN"/>
        </w:rPr>
        <w:br w:type="textWrapping"/>
      </w:r>
      <w:r>
        <w:rPr>
          <w:rFonts w:hint="default"/>
          <w:sz w:val="21"/>
          <w:szCs w:val="21"/>
          <w:lang w:val="en-US" w:eastAsia="zh-CN"/>
        </w:rPr>
        <w:t>　　五、推动开展岗前培训及学生实习活动。各地中小企业主管部门和高校毕业生就业工作部门要加强协调，通过推动岗前培训和学生进企业实习对接活动，使学生更快适应企业岗位需求，让学生与企业加深了解，提高学生就业率，改善企业用工难问题。</w:t>
      </w:r>
      <w:r>
        <w:rPr>
          <w:rFonts w:hint="default"/>
          <w:sz w:val="21"/>
          <w:szCs w:val="21"/>
          <w:lang w:val="en-US" w:eastAsia="zh-CN"/>
        </w:rPr>
        <w:br w:type="textWrapping"/>
      </w:r>
      <w:r>
        <w:rPr>
          <w:rFonts w:hint="default"/>
          <w:sz w:val="21"/>
          <w:szCs w:val="21"/>
          <w:lang w:val="en-US" w:eastAsia="zh-CN"/>
        </w:rPr>
        <w:t>　　六、推动开展各类创业对接活动。各地中小企业主管部门和高校毕业生就业工作部门要加强协调，通过推动和举办创客大赛等活动，推荐和遴选参赛项目。对优秀参赛项目，要充分利用好各类资金和基金资源予以支持，并提供技术成果转化、孵化场地、培训辅导等全方位服务。</w:t>
      </w:r>
      <w:r>
        <w:rPr>
          <w:rFonts w:hint="default"/>
          <w:sz w:val="21"/>
          <w:szCs w:val="21"/>
          <w:lang w:val="en-US" w:eastAsia="zh-CN"/>
        </w:rPr>
        <w:br w:type="textWrapping"/>
      </w:r>
      <w:r>
        <w:rPr>
          <w:rFonts w:hint="default"/>
          <w:sz w:val="21"/>
          <w:szCs w:val="21"/>
          <w:lang w:val="en-US" w:eastAsia="zh-CN"/>
        </w:rPr>
        <w:t>　　七、做好各项创业就业对接活动宣传工作。各地中小企业主管部门和省级就业工作部门要大力做好创业就业对接活动的宣传和组织工作，提高知名度和影响力。鼓励各类媒体、服务平台、创业基地、高校、服务机构等积极参与和配合，为各类创业就业对接活动提供宣传服务。</w:t>
      </w:r>
      <w:r>
        <w:rPr>
          <w:rFonts w:hint="default"/>
          <w:sz w:val="21"/>
          <w:szCs w:val="21"/>
          <w:lang w:val="en-US" w:eastAsia="zh-CN"/>
        </w:rPr>
        <w:br w:type="textWrapping"/>
      </w:r>
      <w:r>
        <w:rPr>
          <w:rFonts w:hint="default"/>
          <w:sz w:val="21"/>
          <w:szCs w:val="21"/>
          <w:lang w:val="en-US" w:eastAsia="zh-CN"/>
        </w:rPr>
        <w:t>　　八、做好监督管理工作。各地中小企业主管部门和高校毕业生就业工作部门要明确对接活动相关工作责任，并于2019年3月1日前报送对接活动联系人及联系方式（格式见附件），形成工作推进机制；严格履行招聘信息采集和发布程序，坚决杜绝虚假信息，确保有序开展对接活动。</w:t>
      </w:r>
      <w:r>
        <w:rPr>
          <w:rFonts w:hint="default"/>
          <w:sz w:val="21"/>
          <w:szCs w:val="21"/>
          <w:lang w:val="en-US" w:eastAsia="zh-CN"/>
        </w:rPr>
        <w:br w:type="textWrapping"/>
      </w:r>
      <w:r>
        <w:rPr>
          <w:rFonts w:hint="default"/>
          <w:sz w:val="21"/>
          <w:szCs w:val="21"/>
          <w:lang w:val="en-US" w:eastAsia="zh-CN"/>
        </w:rPr>
        <w:br w:type="textWrapping"/>
      </w:r>
      <w:r>
        <w:rPr>
          <w:rFonts w:hint="default"/>
          <w:sz w:val="21"/>
          <w:szCs w:val="21"/>
          <w:lang w:val="en-US" w:eastAsia="zh-CN"/>
        </w:rPr>
        <w:t>　　工业和信息化部中小企业局联系人：</w:t>
      </w:r>
      <w:r>
        <w:rPr>
          <w:rFonts w:hint="default"/>
          <w:sz w:val="21"/>
          <w:szCs w:val="21"/>
          <w:lang w:val="en-US" w:eastAsia="zh-CN"/>
        </w:rPr>
        <w:br w:type="textWrapping"/>
      </w:r>
      <w:r>
        <w:rPr>
          <w:rFonts w:hint="default"/>
          <w:sz w:val="21"/>
          <w:szCs w:val="21"/>
          <w:lang w:val="en-US" w:eastAsia="zh-CN"/>
        </w:rPr>
        <w:t>　　蒲文宜 电话：010-68574465</w:t>
      </w:r>
      <w:r>
        <w:rPr>
          <w:rFonts w:hint="default"/>
          <w:sz w:val="21"/>
          <w:szCs w:val="21"/>
          <w:lang w:val="en-US" w:eastAsia="zh-CN"/>
        </w:rPr>
        <w:br w:type="textWrapping"/>
      </w:r>
      <w:r>
        <w:rPr>
          <w:rFonts w:hint="default"/>
          <w:sz w:val="21"/>
          <w:szCs w:val="21"/>
          <w:lang w:val="en-US" w:eastAsia="zh-CN"/>
        </w:rPr>
        <w:t>　　邮箱：puwenyi@126.com</w:t>
      </w:r>
      <w:r>
        <w:rPr>
          <w:rFonts w:hint="default"/>
          <w:sz w:val="21"/>
          <w:szCs w:val="21"/>
          <w:lang w:val="en-US" w:eastAsia="zh-CN"/>
        </w:rPr>
        <w:br w:type="textWrapping"/>
      </w:r>
      <w:r>
        <w:rPr>
          <w:rFonts w:hint="default"/>
          <w:sz w:val="21"/>
          <w:szCs w:val="21"/>
          <w:lang w:val="en-US" w:eastAsia="zh-CN"/>
        </w:rPr>
        <w:t>　　</w:t>
      </w:r>
      <w:r>
        <w:rPr>
          <w:rFonts w:hint="default"/>
          <w:sz w:val="21"/>
          <w:szCs w:val="21"/>
          <w:lang w:val="en-US" w:eastAsia="zh-CN"/>
        </w:rPr>
        <w:br w:type="textWrapping"/>
      </w:r>
      <w:r>
        <w:rPr>
          <w:rFonts w:hint="default"/>
          <w:sz w:val="21"/>
          <w:szCs w:val="21"/>
          <w:lang w:val="en-US" w:eastAsia="zh-CN"/>
        </w:rPr>
        <w:t>　　教育部高校学生司联系人：</w:t>
      </w:r>
      <w:r>
        <w:rPr>
          <w:rFonts w:hint="default"/>
          <w:sz w:val="21"/>
          <w:szCs w:val="21"/>
          <w:lang w:val="en-US" w:eastAsia="zh-CN"/>
        </w:rPr>
        <w:br w:type="textWrapping"/>
      </w:r>
      <w:r>
        <w:rPr>
          <w:rFonts w:hint="default"/>
          <w:sz w:val="21"/>
          <w:szCs w:val="21"/>
          <w:lang w:val="en-US" w:eastAsia="zh-CN"/>
        </w:rPr>
        <w:t>　　简成章 电话：010-62111790</w:t>
      </w:r>
      <w:r>
        <w:rPr>
          <w:rFonts w:hint="default"/>
          <w:sz w:val="21"/>
          <w:szCs w:val="21"/>
          <w:lang w:val="en-US" w:eastAsia="zh-CN"/>
        </w:rPr>
        <w:br w:type="textWrapping"/>
      </w:r>
      <w:r>
        <w:rPr>
          <w:rFonts w:hint="default"/>
          <w:sz w:val="21"/>
          <w:szCs w:val="21"/>
          <w:lang w:val="en-US" w:eastAsia="zh-CN"/>
        </w:rPr>
        <w:t>　　邮箱：zph@ncss.org.cn</w:t>
      </w:r>
      <w:r>
        <w:rPr>
          <w:rFonts w:hint="default"/>
          <w:sz w:val="21"/>
          <w:szCs w:val="21"/>
          <w:lang w:val="en-US" w:eastAsia="zh-CN"/>
        </w:rPr>
        <w:br w:type="textWrapping"/>
      </w:r>
      <w:r>
        <w:rPr>
          <w:rFonts w:hint="default"/>
          <w:sz w:val="21"/>
          <w:szCs w:val="21"/>
          <w:lang w:val="en-US" w:eastAsia="zh-CN"/>
        </w:rPr>
        <w:t>　　特此通知。</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　　</w:t>
      </w:r>
      <w:r>
        <w:rPr>
          <w:rFonts w:hint="default"/>
          <w:sz w:val="21"/>
          <w:szCs w:val="21"/>
          <w:lang w:val="en-US" w:eastAsia="zh-CN"/>
        </w:rPr>
        <w:t>附件：</w:t>
      </w:r>
      <w:r>
        <w:rPr>
          <w:rFonts w:hint="default"/>
          <w:sz w:val="21"/>
          <w:szCs w:val="21"/>
          <w:lang w:val="en-US" w:eastAsia="zh-CN"/>
        </w:rPr>
        <w:fldChar w:fldCharType="begin"/>
      </w:r>
      <w:r>
        <w:rPr>
          <w:rFonts w:hint="default"/>
          <w:sz w:val="21"/>
          <w:szCs w:val="21"/>
          <w:lang w:val="en-US" w:eastAsia="zh-CN"/>
        </w:rPr>
        <w:instrText xml:space="preserve"> HYPERLINK "http://www.miit.gov.cn/n1146285/n1146352/n3054355/n3057527/n3057529/c6651973/part/6651991.wps" </w:instrText>
      </w:r>
      <w:r>
        <w:rPr>
          <w:rFonts w:hint="default"/>
          <w:sz w:val="21"/>
          <w:szCs w:val="21"/>
          <w:lang w:val="en-US" w:eastAsia="zh-CN"/>
        </w:rPr>
        <w:fldChar w:fldCharType="separate"/>
      </w:r>
      <w:r>
        <w:rPr>
          <w:rFonts w:hint="default"/>
          <w:sz w:val="21"/>
          <w:szCs w:val="21"/>
          <w:lang w:val="en-US" w:eastAsia="zh-CN"/>
        </w:rPr>
        <w:t>对接活动联系人及联系方式</w:t>
      </w:r>
      <w:r>
        <w:rPr>
          <w:rFonts w:hint="default"/>
          <w:sz w:val="21"/>
          <w:szCs w:val="21"/>
          <w:lang w:val="en-US" w:eastAsia="zh-CN"/>
        </w:rPr>
        <w:fldChar w:fldCharType="end"/>
      </w:r>
    </w:p>
    <w:p>
      <w:pPr>
        <w:pStyle w:val="20"/>
        <w:spacing w:before="0" w:beforeAutospacing="0" w:after="0" w:afterAutospacing="0" w:line="360" w:lineRule="auto"/>
        <w:ind w:left="0" w:leftChars="0" w:firstLine="420" w:firstLineChars="200"/>
        <w:jc w:val="right"/>
        <w:rPr>
          <w:rFonts w:hint="eastAsia"/>
          <w:sz w:val="21"/>
          <w:szCs w:val="21"/>
          <w:lang w:val="en-US" w:eastAsia="zh-CN"/>
        </w:rPr>
      </w:pPr>
      <w:r>
        <w:rPr>
          <w:rFonts w:hint="default"/>
          <w:sz w:val="21"/>
          <w:szCs w:val="21"/>
          <w:lang w:val="en-US" w:eastAsia="zh-CN"/>
        </w:rPr>
        <w:br w:type="textWrapping"/>
      </w:r>
      <w:r>
        <w:rPr>
          <w:rFonts w:hint="default"/>
          <w:sz w:val="21"/>
          <w:szCs w:val="21"/>
          <w:lang w:val="en-US" w:eastAsia="zh-CN"/>
        </w:rPr>
        <w:br w:type="textWrapping"/>
      </w:r>
      <w:r>
        <w:rPr>
          <w:rFonts w:hint="default"/>
          <w:sz w:val="21"/>
          <w:szCs w:val="21"/>
          <w:lang w:val="en-US" w:eastAsia="zh-CN"/>
        </w:rPr>
        <w:t>工业和信息化部办公厅 教育部办公厅</w:t>
      </w:r>
      <w:r>
        <w:rPr>
          <w:rFonts w:hint="default"/>
          <w:sz w:val="21"/>
          <w:szCs w:val="21"/>
          <w:lang w:val="en-US" w:eastAsia="zh-CN"/>
        </w:rPr>
        <w:br w:type="textWrapping"/>
      </w:r>
      <w:r>
        <w:rPr>
          <w:rFonts w:hint="default"/>
          <w:sz w:val="21"/>
          <w:szCs w:val="21"/>
          <w:lang w:val="en-US" w:eastAsia="zh-CN"/>
        </w:rPr>
        <w:t>　　　　　　　　　　　　　　　　　　　　　　　　　　　2019年2月15 日</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p>
    <w:p>
      <w:pPr>
        <w:pStyle w:val="20"/>
        <w:spacing w:before="0" w:beforeAutospacing="0" w:after="0" w:afterAutospacing="0" w:line="360" w:lineRule="auto"/>
        <w:ind w:left="0" w:leftChars="0" w:firstLine="420" w:firstLineChars="200"/>
        <w:jc w:val="both"/>
        <w:rPr>
          <w:rFonts w:hint="default"/>
          <w:sz w:val="21"/>
          <w:szCs w:val="21"/>
          <w:lang w:val="en-US" w:eastAsia="zh-CN"/>
        </w:rPr>
      </w:pPr>
    </w:p>
    <w:p>
      <w:pPr>
        <w:pStyle w:val="20"/>
        <w:spacing w:before="0" w:beforeAutospacing="0" w:after="0" w:afterAutospacing="0" w:line="360" w:lineRule="auto"/>
        <w:ind w:left="0" w:leftChars="0" w:firstLine="420" w:firstLineChars="200"/>
        <w:jc w:val="both"/>
        <w:rPr>
          <w:rFonts w:hint="default"/>
          <w:sz w:val="21"/>
          <w:szCs w:val="21"/>
          <w:lang w:val="en-US" w:eastAsia="zh-CN"/>
        </w:rPr>
      </w:pPr>
    </w:p>
    <w:p>
      <w:pPr>
        <w:pStyle w:val="20"/>
        <w:spacing w:before="0" w:beforeAutospacing="0" w:after="0" w:afterAutospacing="0" w:line="360" w:lineRule="auto"/>
        <w:ind w:left="0" w:leftChars="0" w:firstLine="420" w:firstLineChars="200"/>
        <w:jc w:val="both"/>
        <w:rPr>
          <w:rFonts w:hint="default"/>
          <w:sz w:val="21"/>
          <w:szCs w:val="21"/>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宋体" w:hAnsi="宋体" w:eastAsia="宋体" w:cs="Times New Roman"/>
          <w:b/>
          <w:bCs/>
          <w:kern w:val="2"/>
          <w:sz w:val="28"/>
          <w:szCs w:val="28"/>
          <w:lang w:val="en-US" w:eastAsia="zh-CN" w:bidi="ar-SA"/>
        </w:rPr>
      </w:pPr>
      <w:bookmarkStart w:id="92" w:name="_Toc25147"/>
      <w:r>
        <w:rPr>
          <w:rFonts w:hint="eastAsia" w:ascii="宋体" w:hAnsi="宋体" w:eastAsia="宋体" w:cs="Times New Roman"/>
          <w:b/>
          <w:bCs/>
          <w:kern w:val="2"/>
          <w:sz w:val="28"/>
          <w:szCs w:val="28"/>
          <w:lang w:val="en-US" w:eastAsia="zh-CN" w:bidi="ar-SA"/>
        </w:rPr>
        <w:t>中国银保监会关于进一步加强金融服务民营企业有关工作的通知</w:t>
      </w:r>
      <w:bookmarkEnd w:id="92"/>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宋体" w:hAnsi="宋体" w:eastAsia="宋体" w:cs="Times New Roman"/>
          <w:b w:val="0"/>
          <w:bCs w:val="0"/>
          <w:kern w:val="2"/>
          <w:sz w:val="24"/>
          <w:szCs w:val="24"/>
          <w:lang w:val="en-US" w:eastAsia="zh-CN" w:bidi="ar-SA"/>
        </w:rPr>
      </w:pPr>
      <w:bookmarkStart w:id="93" w:name="_Toc1480"/>
      <w:r>
        <w:rPr>
          <w:rFonts w:hint="eastAsia" w:ascii="宋体" w:hAnsi="宋体" w:eastAsia="宋体" w:cs="Times New Roman"/>
          <w:b w:val="0"/>
          <w:bCs w:val="0"/>
          <w:kern w:val="2"/>
          <w:sz w:val="24"/>
          <w:szCs w:val="24"/>
          <w:lang w:val="en-US" w:eastAsia="zh-CN" w:bidi="ar-SA"/>
        </w:rPr>
        <w:t>银保监发﹝2019﹞8号</w:t>
      </w:r>
      <w:bookmarkEnd w:id="93"/>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eastAsia"/>
          <w:sz w:val="21"/>
          <w:szCs w:val="21"/>
          <w:lang w:val="en-US" w:eastAsia="zh-CN"/>
        </w:rPr>
        <w:t>为深入贯彻落实中共中央办公厅、国务院办公厅印发的《关于加强金融服务民营企业的若干意见》精神，进一步缓解民营企业融资难融资贵问题，切实提高民营企业金融服务的获得感，现就有关工作通知如下：</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一、持续优化金融服务体系</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eastAsia"/>
          <w:sz w:val="21"/>
          <w:szCs w:val="21"/>
          <w:lang w:val="en-US" w:eastAsia="zh-CN"/>
        </w:rPr>
        <w:t>（一）国有控股大型商业银行要继续加强普惠金融事业部建设，严格落实“五专”经营机制，合理配置服务民营企业的内部资源。鼓励中型商业银行设立普惠金融事业部，结合各自特色和优势，探索创新更加灵活的普惠金融服务方式。</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eastAsia"/>
          <w:sz w:val="21"/>
          <w:szCs w:val="21"/>
          <w:lang w:val="en-US" w:eastAsia="zh-CN"/>
        </w:rPr>
        <w:t>（二）地方法人银行要坚持回归本源，继续下沉经营管理和服务重心，充分发挥了解当地市场的优势，创新信贷产品，服务地方实体经济。</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eastAsia"/>
          <w:sz w:val="21"/>
          <w:szCs w:val="21"/>
          <w:lang w:val="en-US" w:eastAsia="zh-CN"/>
        </w:rPr>
        <w:t>（三）银行要加快处置不良资产，将盘活资金重点投向民营企业。加强与符合条件的融资担保机构的合作，通过利益融合、激励相容实现增信分险，为民营企业提供更多服务。银行保险机构要加大对民营企业债券投资力度。</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eastAsia"/>
          <w:sz w:val="21"/>
          <w:szCs w:val="21"/>
          <w:lang w:val="en-US" w:eastAsia="zh-CN"/>
        </w:rPr>
        <w:t>（四）保险机构要不断提升综合服务水平，在风险可控情况下提供更灵活的民营企业贷款保证保险服务，为民营企业获得融资提供增信支持。</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eastAsia"/>
          <w:sz w:val="21"/>
          <w:szCs w:val="21"/>
          <w:lang w:val="en-US" w:eastAsia="zh-CN"/>
        </w:rPr>
        <w:t>（五）支持银行保险机构通过资本市场补充资本，提高服务实体经济能力。加快商业银行资本补充债券工具创新，通过发行无固定期限资本债券、转股型二级资本债券等创新工具补充资本，支持保险资金投资银行发行的二级资本债券和无固定期限资本债券。加快研究取消保险资金开展财务性股权投资行业范围限制，规范实施战略性股权投资。</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eastAsia"/>
          <w:sz w:val="21"/>
          <w:szCs w:val="21"/>
          <w:lang w:val="en-US" w:eastAsia="zh-CN"/>
        </w:rPr>
        <w:t>（六）银保监会及派出机构将继续按照“成熟一家、设立一家”的原则，有序推进民营银行常态化发展，推动其明确市场定位，积极服务民营企业发展，加快建设与民营中小微企业需求相匹配的金融服务体系。</w:t>
      </w:r>
    </w:p>
    <w:p>
      <w:pPr>
        <w:pStyle w:val="20"/>
        <w:spacing w:before="0" w:beforeAutospacing="0" w:after="0" w:afterAutospacing="0" w:line="360" w:lineRule="auto"/>
        <w:ind w:left="0" w:leftChars="0" w:firstLine="420" w:firstLineChars="200"/>
        <w:jc w:val="both"/>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二、抓紧建立“敢贷、愿贷、能贷”的长效机制</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eastAsia"/>
          <w:sz w:val="21"/>
          <w:szCs w:val="21"/>
          <w:lang w:val="en-US" w:eastAsia="zh-CN"/>
        </w:rPr>
        <w:t>（七）商业银行要于每年年初制定民营企业服务年度目标，在内部绩效考核机制中提高民营企业融资业务权重，加大正向激励力度。对服务民营企业的分支机构和相关人员，重点对其服务企业数量、信贷质量进行综合考核，提高不良贷款考核容忍度。对民营企业贷款增速和质量高于行业平均水平，以及在客户体验好、可复制、易推广服务项目创新上表现突出的分支机构和个人，要予以奖励。</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eastAsia"/>
          <w:sz w:val="21"/>
          <w:szCs w:val="21"/>
          <w:lang w:val="en-US" w:eastAsia="zh-CN"/>
        </w:rPr>
        <w:t>（八）商业银行要尽快建立健全民营企业贷款尽职免责和容错纠错机制。重点明确对分支机构和基层人员的尽职免责认定标准和免责条件，将授信流程涉及的人员全部纳入尽职免责评价范畴。设立内部问责申诉通道，对已尽职但出现风险的项目，可免除相关人员责任，激发基层机构和人员服务民营企业的内生动力。</w:t>
      </w:r>
    </w:p>
    <w:p>
      <w:pPr>
        <w:pStyle w:val="20"/>
        <w:spacing w:before="0" w:beforeAutospacing="0" w:after="0" w:afterAutospacing="0" w:line="360" w:lineRule="auto"/>
        <w:ind w:left="0" w:leftChars="0" w:firstLine="420" w:firstLineChars="200"/>
        <w:jc w:val="both"/>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三、公平精准有效开展民营企业授信业务</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eastAsia"/>
          <w:sz w:val="21"/>
          <w:szCs w:val="21"/>
          <w:lang w:val="en-US" w:eastAsia="zh-CN"/>
        </w:rPr>
        <w:t>（九）商业银行贷款审批中不得对民营企业设置歧视性要求，同等条件下民营企业与国有企业贷款利率和贷款条件保持一致，有效提高民营企业融资可获得性。</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eastAsia"/>
          <w:sz w:val="21"/>
          <w:szCs w:val="21"/>
          <w:lang w:val="en-US" w:eastAsia="zh-CN"/>
        </w:rPr>
        <w:t>（十）商业银行要根据民营企业融资需求特点，借助互联网、大数据等新技术，设计个性化产品满足企业不同需求。综合考虑资金成本、运营成本、服务模式以及担保方式等因素科学定价。</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eastAsia"/>
          <w:sz w:val="21"/>
          <w:szCs w:val="21"/>
          <w:lang w:val="en-US" w:eastAsia="zh-CN"/>
        </w:rPr>
        <w:t>（十一）商业银行要坚持审核第一还款来源，减轻对抵押担保的过度依赖，合理提高信用贷款比重。把主业突出、财务稳健、大股东及实际控制人信用良好作为授信主要依据。对于制造业企业，要把经营稳健、订单充足和用水用电正常等作为授信重要考虑因素。对于科创型轻资产企业，要把创始人专业专注、有知识产权等作为授信重要考虑因素。要依托产业链核心企业信用、真实交易背景和物流、信息流、资金流闭环，为上下游企业提供无需抵押担保的订单融资、应收应付账款融资。</w:t>
      </w:r>
    </w:p>
    <w:p>
      <w:pPr>
        <w:pStyle w:val="20"/>
        <w:spacing w:before="0" w:beforeAutospacing="0" w:after="0" w:afterAutospacing="0" w:line="360" w:lineRule="auto"/>
        <w:ind w:left="0" w:leftChars="0" w:firstLine="420" w:firstLineChars="200"/>
        <w:jc w:val="both"/>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四、着力提升民营企业信贷服务效率</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eastAsia"/>
          <w:sz w:val="21"/>
          <w:szCs w:val="21"/>
          <w:lang w:val="en-US" w:eastAsia="zh-CN"/>
        </w:rPr>
        <w:t>（十二）商业银行要积极运用金融科技手段加强对风险评估与信贷决策的支持，提高贷款需求响应速度和授信审批效率。在探索线上贷款审批操作的同时，结合自身实际，将一定额度民营企业信贷业务的发起权和审批权下放至分支机构，进一步下沉经营重心。</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eastAsia"/>
          <w:sz w:val="21"/>
          <w:szCs w:val="21"/>
          <w:lang w:val="en-US" w:eastAsia="zh-CN"/>
        </w:rPr>
        <w:t>（十三）商业银行要根据自身风险管理制度和业务流程，通过推广预授信、平行作业、简化年审等方式，提高信贷审批效率。特别是对于材料齐备的首次申贷中小企业、存量客户1000万元以内的临时性融资需求等，要在信贷审批及放款环节提高时效。加大续贷支持力度，要至少提前一个月主动对接续贷需求，切实降低民营企业贷款周转成本。</w:t>
      </w:r>
    </w:p>
    <w:p>
      <w:pPr>
        <w:pStyle w:val="20"/>
        <w:spacing w:before="0" w:beforeAutospacing="0" w:after="0" w:afterAutospacing="0" w:line="360" w:lineRule="auto"/>
        <w:ind w:left="0" w:leftChars="0" w:firstLine="420" w:firstLineChars="200"/>
        <w:jc w:val="both"/>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五、从实际出发帮助遭遇风险事件的民营企业融资纾困</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eastAsia"/>
          <w:sz w:val="21"/>
          <w:szCs w:val="21"/>
          <w:lang w:val="en-US" w:eastAsia="zh-CN"/>
        </w:rPr>
        <w:t>（十四）支持资管产品、保险资金依法合规通过监管部门认可的私募股权基金等机构，参与化解处置民营上市公司股票质押风险。</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eastAsia"/>
          <w:sz w:val="21"/>
          <w:szCs w:val="21"/>
          <w:lang w:val="en-US" w:eastAsia="zh-CN"/>
        </w:rPr>
        <w:t>（十五）对暂时遇到困难的民营企业，银行保险机构要按照市场化、法治化原则，区别对待、“一企一策”，分类采取支持处置措施，着力化解企业流动性风险。对符合经济结构优化升级方向、有发展前景和一定竞争力但暂时遇到困难的民营企业，银行业金融机构债权人委员会要加强统一协调，不盲目停贷、压贷，可提供必要的融资支持，帮助企业维持或恢复正常生产经营；对其中困难较大的民营企业，可在平等自愿前提下，综合运用增资扩股、财务重组、兼并重组或市场化债转股等方式，帮助企业优化负债结构，完善公司治理。对于符合破产清算条件的“僵尸企业”，应积极配合各方面坚决破产清算。</w:t>
      </w:r>
    </w:p>
    <w:p>
      <w:pPr>
        <w:pStyle w:val="20"/>
        <w:spacing w:before="0" w:beforeAutospacing="0" w:after="0" w:afterAutospacing="0" w:line="360" w:lineRule="auto"/>
        <w:ind w:left="0" w:leftChars="0" w:firstLine="420" w:firstLineChars="200"/>
        <w:jc w:val="both"/>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六、推动完善融资服务信息平台</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eastAsia"/>
          <w:sz w:val="21"/>
          <w:szCs w:val="21"/>
          <w:lang w:val="en-US" w:eastAsia="zh-CN"/>
        </w:rPr>
        <w:t>（十六）银行保险机构要加强内外部数据的积累、集成和对接，搭建大数据综合信息平台，精准分析民营企业生产经营和信用状况。健全优化与民营企业信息对接机制，实现资金供需双方线上高效对接，让信息“多跑路”，让企业“少跑腿”，为民营企业融资提供支持。</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eastAsia"/>
          <w:sz w:val="21"/>
          <w:szCs w:val="21"/>
          <w:lang w:val="en-US" w:eastAsia="zh-CN"/>
        </w:rPr>
        <w:t>（十七）银保监会及派出机构要积极协调配合地方政府，进一步整合金融、税务、市场监管、社保、海关、司法等领域的企业信用信息，建设区域性的信用信息服务平台，加强数据信息的自动采集、查询和实时更新，推动实现跨层级跨部门跨地域互联互通。</w:t>
      </w:r>
    </w:p>
    <w:p>
      <w:pPr>
        <w:pStyle w:val="20"/>
        <w:spacing w:before="0" w:beforeAutospacing="0" w:after="0" w:afterAutospacing="0" w:line="360" w:lineRule="auto"/>
        <w:ind w:left="0" w:leftChars="0" w:firstLine="420" w:firstLineChars="200"/>
        <w:jc w:val="both"/>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七、处理好支持民营企业发展与防范金融风险的关系</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eastAsia"/>
          <w:sz w:val="21"/>
          <w:szCs w:val="21"/>
          <w:lang w:val="en-US" w:eastAsia="zh-CN"/>
        </w:rPr>
        <w:t>（十八）商业银行要遵循经济金融规律，坚持审慎稳健的经营理念，建立完善行之有效的风险管控体系和精细高效的管理机制。科学设定信贷计划，不得组织运动式信贷投放。</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eastAsia"/>
          <w:sz w:val="21"/>
          <w:szCs w:val="21"/>
          <w:lang w:val="en-US" w:eastAsia="zh-CN"/>
        </w:rPr>
        <w:t>（十九）商业银行要健全信用风险管控机制，不断提升数据治理、客户评级和贷款风险定价能力，强化贷款全生命周期的穿透式风险管理。加强对贷款资金流向的监测，做好贷中贷后管理，确保贷款资金真正用于支持民营企业和实体经济，防止被截留、挪用甚至转手套利，有效防范道德风险和形成新的风险隐患。</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eastAsia"/>
          <w:sz w:val="21"/>
          <w:szCs w:val="21"/>
          <w:lang w:val="en-US" w:eastAsia="zh-CN"/>
        </w:rPr>
        <w:t>（二十）银行业金融机构要继续深化联合授信试点工作，与民营企业构建中长期银企关系，遏制多头融资、过度融资，有效防控信用风险。</w:t>
      </w:r>
    </w:p>
    <w:p>
      <w:pPr>
        <w:pStyle w:val="20"/>
        <w:spacing w:before="0" w:beforeAutospacing="0" w:after="0" w:afterAutospacing="0" w:line="360" w:lineRule="auto"/>
        <w:ind w:left="0" w:leftChars="0" w:firstLine="420" w:firstLineChars="200"/>
        <w:jc w:val="both"/>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八、加大对金融服务民营企业的监管督查力度</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eastAsia"/>
          <w:sz w:val="21"/>
          <w:szCs w:val="21"/>
          <w:lang w:val="en-US" w:eastAsia="zh-CN"/>
        </w:rPr>
        <w:t>（二十一）商业银行要在2019年3月底前制定2019年度民营企业服务目标，结合民营企业经营实际科学安排贷款投放。国有控股大型商业银行要充分发挥“头雁”效应，2019年普惠型小微企业贷款力争总体实现余额同比增长30%以上，信贷综合融资成本控制在合理水平。</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eastAsia"/>
          <w:sz w:val="21"/>
          <w:szCs w:val="21"/>
          <w:lang w:val="en-US" w:eastAsia="zh-CN"/>
        </w:rPr>
        <w:t>（二十二）银保监会将在2019年2月底前明确民营企业贷款统计口径。按季监测银行业金融机构民营企业贷款情况。根据实际情况按法人机构制定实施差异化考核方案，形成贷款户数和金额并重的年度考核机制。加强监管督导和考核，确保民营企业贷款在新发放公司类贷款中的比重进一步提高，并将融资成本保持在合理水平。</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二十三）银保监会将对金融服务民营企业政策落实情况进行督导和检查。2019年督查重点将包括贷款尽职免责和容错纠错机制是否有效建立、贷款审批中对民营企业是否设置歧视性要求、授信中是否附加以贷转存等不合理条件、民营企业贷款数据是否真实、享受优惠政策低成本资金的使用是否合规等方面。相关违规行为一经查实，依法严肃处理相关机构和责任人员。严厉打击金融信贷领域强行返点等行为，对涉嫌违法犯罪的机构和个人，及时移送司法机关等有关机关依法查处。</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p>
    <w:p>
      <w:pPr>
        <w:pStyle w:val="20"/>
        <w:spacing w:before="0" w:beforeAutospacing="0" w:after="0" w:afterAutospacing="0" w:line="360" w:lineRule="auto"/>
        <w:ind w:left="0" w:leftChars="0" w:firstLine="420" w:firstLineChars="200"/>
        <w:jc w:val="both"/>
        <w:rPr>
          <w:rFonts w:hint="eastAsia"/>
          <w:sz w:val="21"/>
          <w:szCs w:val="21"/>
          <w:lang w:val="en-US" w:eastAsia="zh-CN"/>
        </w:rPr>
      </w:pPr>
    </w:p>
    <w:p>
      <w:pPr>
        <w:pStyle w:val="20"/>
        <w:spacing w:before="0" w:beforeAutospacing="0" w:after="0" w:afterAutospacing="0" w:line="360" w:lineRule="auto"/>
        <w:ind w:left="0" w:leftChars="0" w:firstLine="420" w:firstLineChars="200"/>
        <w:jc w:val="both"/>
        <w:rPr>
          <w:rFonts w:hint="eastAsia"/>
          <w:sz w:val="21"/>
          <w:szCs w:val="21"/>
          <w:lang w:val="en-US" w:eastAsia="zh-CN"/>
        </w:rPr>
      </w:pPr>
    </w:p>
    <w:p>
      <w:pPr>
        <w:pStyle w:val="20"/>
        <w:spacing w:before="0" w:beforeAutospacing="0" w:after="0" w:afterAutospacing="0" w:line="360" w:lineRule="auto"/>
        <w:ind w:left="0" w:leftChars="0" w:firstLine="420" w:firstLineChars="200"/>
        <w:jc w:val="both"/>
        <w:rPr>
          <w:rFonts w:hint="eastAsia"/>
          <w:sz w:val="21"/>
          <w:szCs w:val="21"/>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Times New Roman"/>
          <w:b/>
          <w:bCs/>
          <w:kern w:val="2"/>
          <w:sz w:val="30"/>
          <w:szCs w:val="30"/>
          <w:lang w:val="en-US" w:eastAsia="zh-CN" w:bidi="ar-SA"/>
        </w:rPr>
      </w:pPr>
      <w:bookmarkStart w:id="94" w:name="_Toc7208"/>
      <w:r>
        <w:rPr>
          <w:rFonts w:hint="eastAsia" w:ascii="宋体" w:hAnsi="宋体" w:eastAsia="宋体" w:cs="Times New Roman"/>
          <w:b/>
          <w:bCs/>
          <w:kern w:val="2"/>
          <w:sz w:val="30"/>
          <w:szCs w:val="30"/>
          <w:lang w:val="en-US" w:eastAsia="zh-CN" w:bidi="ar-SA"/>
        </w:rPr>
        <w:t>市场监管总局关于《动产抵押登记办法（修改稿）》</w:t>
      </w:r>
      <w:bookmarkEnd w:id="94"/>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Times New Roman"/>
          <w:b/>
          <w:bCs/>
          <w:kern w:val="2"/>
          <w:sz w:val="30"/>
          <w:szCs w:val="30"/>
          <w:lang w:val="en-US" w:eastAsia="zh-CN" w:bidi="ar-SA"/>
        </w:rPr>
      </w:pPr>
      <w:bookmarkStart w:id="95" w:name="_Toc17387"/>
      <w:bookmarkStart w:id="96" w:name="_Toc16957"/>
      <w:bookmarkStart w:id="97" w:name="_Toc20919"/>
      <w:bookmarkStart w:id="98" w:name="_Toc21505"/>
      <w:bookmarkStart w:id="99" w:name="_Toc20057"/>
      <w:bookmarkStart w:id="100" w:name="_Toc2703"/>
      <w:bookmarkStart w:id="101" w:name="_Toc23610"/>
      <w:bookmarkStart w:id="102" w:name="_Toc12464"/>
      <w:bookmarkStart w:id="103" w:name="_Toc28834"/>
      <w:r>
        <w:rPr>
          <w:rFonts w:hint="eastAsia" w:ascii="宋体" w:hAnsi="宋体" w:eastAsia="宋体" w:cs="Times New Roman"/>
          <w:b/>
          <w:bCs/>
          <w:kern w:val="2"/>
          <w:sz w:val="30"/>
          <w:szCs w:val="30"/>
          <w:lang w:val="en-US" w:eastAsia="zh-CN" w:bidi="ar-SA"/>
        </w:rPr>
        <w:t>公开征求意见的公告</w:t>
      </w:r>
      <w:bookmarkEnd w:id="95"/>
      <w:bookmarkEnd w:id="96"/>
      <w:bookmarkEnd w:id="97"/>
      <w:bookmarkEnd w:id="98"/>
      <w:bookmarkEnd w:id="99"/>
      <w:bookmarkEnd w:id="100"/>
      <w:bookmarkEnd w:id="101"/>
      <w:bookmarkEnd w:id="102"/>
      <w:bookmarkEnd w:id="103"/>
    </w:p>
    <w:p>
      <w:pPr>
        <w:pStyle w:val="20"/>
        <w:spacing w:before="0" w:beforeAutospacing="0" w:after="0" w:afterAutospacing="0" w:line="360" w:lineRule="auto"/>
        <w:ind w:left="0" w:leftChars="0" w:firstLine="420" w:firstLineChars="200"/>
        <w:jc w:val="both"/>
        <w:rPr>
          <w:rFonts w:hint="eastAsia"/>
          <w:sz w:val="21"/>
          <w:szCs w:val="21"/>
          <w:lang w:val="en-US" w:eastAsia="zh-CN"/>
        </w:rPr>
      </w:pP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为规范动产抵押登记工作，根据《中华人民共和国物权法》，市场监管总局组织起草形成了《动产抵押登记办法（修改稿）》（见附件），现向社会公开征求意见。欢迎各有关单位和个人提出意见和建议，并请于2019年3月8日前反馈。公众可将意见和建议发送电子邮件至：wjshtc0629@163.com。 </w:t>
      </w:r>
    </w:p>
    <w:p>
      <w:pPr>
        <w:pStyle w:val="20"/>
        <w:spacing w:before="0" w:beforeAutospacing="0" w:after="0" w:afterAutospacing="0" w:line="360" w:lineRule="auto"/>
        <w:ind w:left="0" w:leftChars="0" w:firstLine="420" w:firstLineChars="200"/>
        <w:jc w:val="both"/>
        <w:rPr>
          <w:rFonts w:hint="eastAsia" w:ascii="微软雅黑" w:hAnsi="微软雅黑" w:eastAsia="微软雅黑" w:cs="微软雅黑"/>
          <w:i w:val="0"/>
          <w:caps w:val="0"/>
          <w:color w:val="333333"/>
          <w:spacing w:val="0"/>
          <w:sz w:val="24"/>
          <w:szCs w:val="24"/>
        </w:rPr>
      </w:pPr>
      <w:r>
        <w:rPr>
          <w:rFonts w:hint="eastAsia"/>
          <w:sz w:val="21"/>
          <w:szCs w:val="21"/>
          <w:lang w:val="en-US" w:eastAsia="zh-CN"/>
        </w:rPr>
        <w:fldChar w:fldCharType="begin"/>
      </w:r>
      <w:r>
        <w:rPr>
          <w:rFonts w:hint="eastAsia"/>
          <w:sz w:val="21"/>
          <w:szCs w:val="21"/>
          <w:lang w:val="en-US" w:eastAsia="zh-CN"/>
        </w:rPr>
        <w:instrText xml:space="preserve"> HYPERLINK "http://gkml.samr.gov.cn/nsjg/wjs/201902/W020190222329135762681.docx" </w:instrText>
      </w:r>
      <w:r>
        <w:rPr>
          <w:rFonts w:hint="eastAsia"/>
          <w:sz w:val="21"/>
          <w:szCs w:val="21"/>
          <w:lang w:val="en-US" w:eastAsia="zh-CN"/>
        </w:rPr>
        <w:fldChar w:fldCharType="separate"/>
      </w:r>
      <w:r>
        <w:rPr>
          <w:rFonts w:hint="eastAsia"/>
          <w:sz w:val="21"/>
          <w:szCs w:val="21"/>
          <w:lang w:val="en-US" w:eastAsia="zh-CN"/>
        </w:rPr>
        <w:t>附件：动产抵押登记办法（修改稿）</w:t>
      </w:r>
      <w:r>
        <w:rPr>
          <w:rFonts w:hint="eastAsia"/>
          <w:sz w:val="21"/>
          <w:szCs w:val="21"/>
          <w:lang w:val="en-US" w:eastAsia="zh-CN"/>
        </w:rPr>
        <w:fldChar w:fldCharType="end"/>
      </w:r>
      <w:r>
        <w:rPr>
          <w:rFonts w:hint="eastAsia"/>
          <w:sz w:val="21"/>
          <w:szCs w:val="21"/>
          <w:lang w:val="en-US" w:eastAsia="zh-CN"/>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righ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国家市场监督管理总局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righ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2019年2月22日 </w:t>
      </w:r>
    </w:p>
    <w:p>
      <w:pPr>
        <w:jc w:val="center"/>
        <w:rPr>
          <w:rFonts w:hint="eastAsia" w:ascii="华文中宋" w:hAnsi="华文中宋" w:eastAsia="华文中宋"/>
          <w:sz w:val="32"/>
          <w:szCs w:val="32"/>
        </w:rPr>
      </w:pPr>
    </w:p>
    <w:p>
      <w:pPr>
        <w:pStyle w:val="20"/>
        <w:spacing w:before="0" w:beforeAutospacing="0" w:after="0" w:afterAutospacing="0" w:line="360" w:lineRule="auto"/>
        <w:ind w:left="0" w:leftChars="0" w:firstLine="482" w:firstLineChars="200"/>
        <w:jc w:val="center"/>
        <w:rPr>
          <w:rFonts w:hint="eastAsia"/>
          <w:b/>
          <w:bCs/>
          <w:sz w:val="24"/>
          <w:szCs w:val="24"/>
          <w:lang w:val="en-US" w:eastAsia="zh-CN"/>
        </w:rPr>
      </w:pPr>
      <w:r>
        <w:rPr>
          <w:rFonts w:hint="eastAsia"/>
          <w:b/>
          <w:bCs/>
          <w:sz w:val="24"/>
          <w:szCs w:val="24"/>
          <w:lang w:val="en-US" w:eastAsia="zh-CN"/>
        </w:rPr>
        <w:t>动产抵押登记办法</w:t>
      </w:r>
    </w:p>
    <w:p>
      <w:pPr>
        <w:pStyle w:val="20"/>
        <w:spacing w:before="0" w:beforeAutospacing="0" w:after="0" w:afterAutospacing="0" w:line="360" w:lineRule="auto"/>
        <w:ind w:left="0" w:leftChars="0" w:firstLine="420" w:firstLineChars="200"/>
        <w:jc w:val="center"/>
        <w:rPr>
          <w:rFonts w:hint="eastAsia"/>
          <w:sz w:val="21"/>
          <w:szCs w:val="21"/>
          <w:lang w:val="en-US" w:eastAsia="zh-CN"/>
        </w:rPr>
      </w:pPr>
      <w:r>
        <w:rPr>
          <w:rFonts w:hint="eastAsia"/>
          <w:sz w:val="21"/>
          <w:szCs w:val="21"/>
          <w:lang w:val="en-US" w:eastAsia="zh-CN"/>
        </w:rPr>
        <w:t>（修改稿）</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ascii="黑体" w:hAnsi="黑体" w:eastAsia="黑体" w:cs="黑体"/>
          <w:sz w:val="21"/>
          <w:szCs w:val="21"/>
          <w:lang w:val="en-US" w:eastAsia="zh-CN"/>
        </w:rPr>
        <w:t>第一条</w:t>
      </w:r>
      <w:r>
        <w:rPr>
          <w:rFonts w:hint="eastAsia"/>
          <w:sz w:val="21"/>
          <w:szCs w:val="21"/>
          <w:lang w:val="en-US" w:eastAsia="zh-CN"/>
        </w:rPr>
        <w:t xml:space="preserve"> 为规范动产抵押登记工作，保障交易安全，促进资金融通，根据《中华人民共和国担保法》《中华人民共和国物权法》《企业信息公示暂行条例》等法律、行政法规，制定本办法。</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ascii="黑体" w:hAnsi="黑体" w:eastAsia="黑体" w:cs="黑体"/>
          <w:sz w:val="21"/>
          <w:szCs w:val="21"/>
          <w:lang w:val="en-US" w:eastAsia="zh-CN"/>
        </w:rPr>
        <w:t>第二条</w:t>
      </w:r>
      <w:r>
        <w:rPr>
          <w:rFonts w:hint="eastAsia"/>
          <w:sz w:val="21"/>
          <w:szCs w:val="21"/>
          <w:lang w:val="en-US" w:eastAsia="zh-CN"/>
        </w:rPr>
        <w:t xml:space="preserve"> 企业、个体工商户、农业生产经营者以《中华人民共和国物权法》第一百八十条第一款第四项、第一百八十一条规定的动产抵押的，应当向抵押人住所地的县级市场监督管理部门（以下简称登记机关）办理登记。抵押权自抵押合同生效时设立；未经登记，不得对抗善意第三人。</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ascii="黑体" w:hAnsi="黑体" w:eastAsia="黑体" w:cs="黑体"/>
          <w:sz w:val="21"/>
          <w:szCs w:val="21"/>
          <w:lang w:val="en-US" w:eastAsia="zh-CN"/>
        </w:rPr>
        <w:t>第三条</w:t>
      </w:r>
      <w:r>
        <w:rPr>
          <w:rFonts w:hint="eastAsia"/>
          <w:sz w:val="21"/>
          <w:szCs w:val="21"/>
          <w:lang w:val="en-US" w:eastAsia="zh-CN"/>
        </w:rPr>
        <w:t xml:space="preserve"> 动产抵押登记的设立、变更和注销，可以由抵押合同一方作为代表到登记机关办理，也可以由抵押合同双方共同委托的代理人到登记机关办理。</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当事人应当保证其提交的材料内容真实准确。</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ascii="黑体" w:hAnsi="黑体" w:eastAsia="黑体" w:cs="黑体"/>
          <w:sz w:val="21"/>
          <w:szCs w:val="21"/>
          <w:lang w:val="en-US" w:eastAsia="zh-CN"/>
        </w:rPr>
        <w:t>第四条</w:t>
      </w:r>
      <w:r>
        <w:rPr>
          <w:rFonts w:hint="eastAsia"/>
          <w:sz w:val="21"/>
          <w:szCs w:val="21"/>
          <w:lang w:val="en-US" w:eastAsia="zh-CN"/>
        </w:rPr>
        <w:t xml:space="preserve"> 当事人设立抵押权符合本办法第二条所规定情形的，应当持下列文件向登记机关办理设立登记：</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（一）抵押人、抵押权人签字或者盖章的《动产抵押登记书》；</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（二）抵押人、抵押权人主体资格证明或者自然人身份证明文件；</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（三）抵押合同双方指定代表或者共同委托代理人的身份证明。</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ascii="黑体" w:hAnsi="黑体" w:eastAsia="黑体" w:cs="黑体"/>
          <w:sz w:val="21"/>
          <w:szCs w:val="21"/>
          <w:lang w:val="en-US" w:eastAsia="zh-CN"/>
        </w:rPr>
        <w:t>第五条</w:t>
      </w:r>
      <w:r>
        <w:rPr>
          <w:rFonts w:hint="eastAsia"/>
          <w:sz w:val="21"/>
          <w:szCs w:val="21"/>
          <w:lang w:val="en-US" w:eastAsia="zh-CN"/>
        </w:rPr>
        <w:t xml:space="preserve"> 《动产抵押登记书》应当载明下列内容：</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（一）抵押人、抵押权人名称（姓名）、住所地等；</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（二）抵押财产的名称、数量、状况等概况；</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（三）被担保债权的种类和数额；</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（四）抵押担保的范围；</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（五）债务人履行债务的期限；</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（六）抵押合同双方指定代表或者共同委托代理人的姓名、联系方式等；</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（七）抵押人、抵押权人签字或者盖章；</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（八）抵押人、抵押权人认为其他应当登记的抵押权信息。</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ascii="黑体" w:hAnsi="黑体" w:eastAsia="黑体" w:cs="黑体"/>
          <w:sz w:val="21"/>
          <w:szCs w:val="21"/>
          <w:lang w:val="en-US" w:eastAsia="zh-CN"/>
        </w:rPr>
        <w:t>第六条</w:t>
      </w:r>
      <w:r>
        <w:rPr>
          <w:rFonts w:hint="eastAsia"/>
          <w:sz w:val="21"/>
          <w:szCs w:val="21"/>
          <w:lang w:val="en-US" w:eastAsia="zh-CN"/>
        </w:rPr>
        <w:t xml:space="preserve"> 抵押合同变更、《动产抵押登记书》内容需要变更的，当事人应当持下列文件，向原登记机关办理变更登记：</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（一）抵押人、抵押权人签字或者盖章的《动产抵押登记变更书》；</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（二）抵押人、抵押权人主体资格证明或者自然人身份证明文件；</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（三）抵押合同双方指定代表或者共同委托代理人的身份证明。</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ascii="黑体" w:hAnsi="黑体" w:eastAsia="黑体" w:cs="黑体"/>
          <w:sz w:val="21"/>
          <w:szCs w:val="21"/>
          <w:lang w:val="en-US" w:eastAsia="zh-CN"/>
        </w:rPr>
        <w:t>第七条</w:t>
      </w:r>
      <w:r>
        <w:rPr>
          <w:rFonts w:hint="eastAsia"/>
          <w:sz w:val="21"/>
          <w:szCs w:val="21"/>
          <w:lang w:val="en-US" w:eastAsia="zh-CN"/>
        </w:rPr>
        <w:t xml:space="preserve"> 在主债权消灭、担保物权实现、债权人放弃担保物权或者法律规定担保物权消灭的其他情形下，当事人应当持下列文件，向原登记机关办理注销登记：</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（一）抵押人、抵押权人签字或者盖章的《动产抵押登记注销书》；</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（二）抵押人、抵押权人主体资格证明或者自然人身份证明文件；</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（三）抵押合同双方指定代表或者共同委托代理人的身份证明。</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ascii="黑体" w:hAnsi="黑体" w:eastAsia="黑体" w:cs="黑体"/>
          <w:sz w:val="21"/>
          <w:szCs w:val="21"/>
          <w:lang w:val="en-US" w:eastAsia="zh-CN"/>
        </w:rPr>
        <w:t>第八条</w:t>
      </w:r>
      <w:r>
        <w:rPr>
          <w:rFonts w:hint="eastAsia"/>
          <w:sz w:val="21"/>
          <w:szCs w:val="21"/>
          <w:lang w:val="en-US" w:eastAsia="zh-CN"/>
        </w:rPr>
        <w:t xml:space="preserve"> 当事人办理动产抵押登记的设立、变更、注销，提交材料齐全，符合本办法形式要求的，登记机关应当予以办理，在当事人所提交的《动产抵押登记书》《动产抵押登记变更书》《动产抵押登记注销书》上加盖动产抵押登记专用章，并注明盖章日期。</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当事人办理动产抵押登记的设立、变更、注销，提交的材料不符合本办法规定的，登记机关不予办理，并应当向当事人告知理由。</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ascii="黑体" w:hAnsi="黑体" w:eastAsia="黑体" w:cs="黑体"/>
          <w:sz w:val="21"/>
          <w:szCs w:val="21"/>
          <w:lang w:val="en-US" w:eastAsia="zh-CN"/>
        </w:rPr>
        <w:t>第九条</w:t>
      </w:r>
      <w:r>
        <w:rPr>
          <w:rFonts w:hint="eastAsia"/>
          <w:sz w:val="21"/>
          <w:szCs w:val="21"/>
          <w:lang w:val="en-US" w:eastAsia="zh-CN"/>
        </w:rPr>
        <w:t xml:space="preserve"> 登记机关应当根据加盖动产抵押登记专用章的《动产抵押登记书》《动产抵押登记变更书》《动产抵押登记注销书》设立动产抵押登记档案，并按照《企业信息公示暂行条例》的规定，及时将动产抵押登记信息通过国家企业信用信息公示系统公示。</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《动产抵押登记书》《动产抵押登记变更书》《动产抵押登记注销书》各一式三份，抵押人、抵押权人各持一份，登记机关留存一份。</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ascii="黑体" w:hAnsi="黑体" w:eastAsia="黑体" w:cs="黑体"/>
          <w:sz w:val="21"/>
          <w:szCs w:val="21"/>
          <w:lang w:val="en-US" w:eastAsia="zh-CN"/>
        </w:rPr>
        <w:t>第十条</w:t>
      </w:r>
      <w:r>
        <w:rPr>
          <w:rFonts w:hint="eastAsia"/>
          <w:sz w:val="21"/>
          <w:szCs w:val="21"/>
          <w:lang w:val="en-US" w:eastAsia="zh-CN"/>
        </w:rPr>
        <w:t xml:space="preserve"> 有关单位和个人可以登录国家企业信用信息公示系统查询有关动产抵押登记信息，也可以持合法身份证明文件，到登记机关查阅、抄录动产抵押登记档案。</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ascii="黑体" w:hAnsi="黑体" w:eastAsia="黑体" w:cs="黑体"/>
          <w:sz w:val="21"/>
          <w:szCs w:val="21"/>
          <w:lang w:val="en-US" w:eastAsia="zh-CN"/>
        </w:rPr>
        <w:t>第十一条</w:t>
      </w:r>
      <w:r>
        <w:rPr>
          <w:rFonts w:hint="eastAsia"/>
          <w:sz w:val="21"/>
          <w:szCs w:val="21"/>
          <w:lang w:val="en-US" w:eastAsia="zh-CN"/>
        </w:rPr>
        <w:t xml:space="preserve"> 当事人有证据证明登记机关的动产抵押登记信息与其提交材料内容不一致的，有权要求登记机关予以更正。</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登记机关发现其登记的动产抵押登记信息与当事人提交材料内容不一致的，应当对有关信息进行更正。</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ascii="黑体" w:hAnsi="黑体" w:eastAsia="黑体" w:cs="黑体"/>
          <w:sz w:val="21"/>
          <w:szCs w:val="21"/>
          <w:lang w:val="en-US" w:eastAsia="zh-CN"/>
        </w:rPr>
        <w:t>第十二条</w:t>
      </w:r>
      <w:r>
        <w:rPr>
          <w:rFonts w:hint="eastAsia"/>
          <w:sz w:val="21"/>
          <w:szCs w:val="21"/>
          <w:lang w:val="en-US" w:eastAsia="zh-CN"/>
        </w:rPr>
        <w:t xml:space="preserve"> 经当事人或者利害关系人申请，登记机关可以根据人民法院、仲裁委员会生效的法律文书或者人民政府生效的决定等，对相关的动产抵押登记进行变更或者撤销。动产抵押登记变更或者撤销后，登记机关应当告知原抵押合同双方当事人。</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ascii="黑体" w:hAnsi="黑体" w:eastAsia="黑体" w:cs="黑体"/>
          <w:sz w:val="21"/>
          <w:szCs w:val="21"/>
          <w:lang w:val="en-US" w:eastAsia="zh-CN"/>
        </w:rPr>
        <w:t>第十三条</w:t>
      </w:r>
      <w:r>
        <w:rPr>
          <w:rFonts w:hint="eastAsia"/>
          <w:sz w:val="21"/>
          <w:szCs w:val="21"/>
          <w:lang w:val="en-US" w:eastAsia="zh-CN"/>
        </w:rPr>
        <w:t xml:space="preserve"> 当事人可以通过全国市场监管动产抵押登记业务系统在线办理动产抵押登记的设立、变更、注销；社会公众可以通过全国市场监管动产抵押登记业务系统查询相关动产抵押登记信息。</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全国市场监管动产抵押登记业务系统的工作规则由市场监督管理总局参照本办法规定另行制定。</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ascii="黑体" w:hAnsi="黑体" w:eastAsia="黑体" w:cs="黑体"/>
          <w:sz w:val="21"/>
          <w:szCs w:val="21"/>
          <w:lang w:val="en-US" w:eastAsia="zh-CN"/>
        </w:rPr>
        <w:t>第十四条</w:t>
      </w:r>
      <w:r>
        <w:rPr>
          <w:rFonts w:hint="eastAsia"/>
          <w:sz w:val="21"/>
          <w:szCs w:val="21"/>
          <w:lang w:val="en-US" w:eastAsia="zh-CN"/>
        </w:rPr>
        <w:t xml:space="preserve"> 本办法由国家市场监督管理总局负责解释。</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ascii="黑体" w:hAnsi="黑体" w:eastAsia="黑体" w:cs="黑体"/>
          <w:sz w:val="21"/>
          <w:szCs w:val="21"/>
          <w:lang w:val="en-US" w:eastAsia="zh-CN"/>
        </w:rPr>
        <w:t>第十五条</w:t>
      </w:r>
      <w:r>
        <w:rPr>
          <w:rFonts w:hint="eastAsia"/>
          <w:sz w:val="21"/>
          <w:szCs w:val="21"/>
          <w:lang w:val="en-US" w:eastAsia="zh-CN"/>
        </w:rPr>
        <w:t xml:space="preserve"> 本办法自    年  月  日起施行。</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p>
    <w:p>
      <w:pPr>
        <w:pStyle w:val="20"/>
        <w:spacing w:before="0" w:beforeAutospacing="0" w:after="0" w:afterAutospacing="0" w:line="360" w:lineRule="auto"/>
        <w:ind w:left="0" w:leftChars="0" w:firstLine="420" w:firstLineChars="200"/>
        <w:jc w:val="both"/>
        <w:rPr>
          <w:rFonts w:hint="default"/>
          <w:sz w:val="21"/>
          <w:szCs w:val="21"/>
          <w:lang w:val="en-US" w:eastAsia="zh-CN"/>
        </w:rPr>
      </w:pPr>
    </w:p>
    <w:p>
      <w:pPr>
        <w:pStyle w:val="20"/>
        <w:spacing w:before="0" w:beforeAutospacing="0" w:after="0" w:afterAutospacing="0" w:line="360" w:lineRule="auto"/>
        <w:ind w:left="0" w:leftChars="0" w:firstLine="420" w:firstLineChars="200"/>
        <w:jc w:val="both"/>
        <w:rPr>
          <w:rFonts w:hint="default"/>
          <w:sz w:val="21"/>
          <w:szCs w:val="21"/>
          <w:lang w:val="en-US" w:eastAsia="zh-CN"/>
        </w:rPr>
      </w:pPr>
    </w:p>
    <w:p>
      <w:pPr>
        <w:pStyle w:val="20"/>
        <w:spacing w:before="0" w:beforeAutospacing="0" w:after="0" w:afterAutospacing="0" w:line="360" w:lineRule="auto"/>
        <w:ind w:left="0" w:leftChars="0" w:firstLine="420" w:firstLineChars="200"/>
        <w:jc w:val="both"/>
        <w:rPr>
          <w:rFonts w:hint="default"/>
          <w:sz w:val="21"/>
          <w:szCs w:val="21"/>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Times New Roman"/>
          <w:b/>
          <w:bCs/>
          <w:kern w:val="2"/>
          <w:sz w:val="30"/>
          <w:szCs w:val="30"/>
          <w:lang w:val="en-US" w:eastAsia="zh-CN" w:bidi="ar-SA"/>
        </w:rPr>
      </w:pPr>
      <w:bookmarkStart w:id="104" w:name="_Toc7250"/>
      <w:r>
        <w:rPr>
          <w:rFonts w:hint="eastAsia" w:ascii="宋体" w:hAnsi="宋体" w:eastAsia="宋体" w:cs="Times New Roman"/>
          <w:b/>
          <w:bCs/>
          <w:kern w:val="2"/>
          <w:sz w:val="30"/>
          <w:szCs w:val="30"/>
          <w:lang w:val="en-US" w:eastAsia="zh-CN" w:bidi="ar-SA"/>
        </w:rPr>
        <w:t>工业和信息化部财政部关于举办2019年“创客中国”中小企业创新创业大赛的通知</w:t>
      </w:r>
      <w:bookmarkEnd w:id="104"/>
    </w:p>
    <w:p>
      <w:pPr>
        <w:pStyle w:val="20"/>
        <w:spacing w:before="0" w:beforeAutospacing="0" w:after="0" w:afterAutospacing="0" w:line="360" w:lineRule="auto"/>
        <w:ind w:left="0" w:leftChars="0" w:firstLine="320" w:firstLineChars="200"/>
        <w:jc w:val="both"/>
        <w:rPr>
          <w:rFonts w:hint="eastAsia"/>
          <w:sz w:val="21"/>
          <w:szCs w:val="21"/>
          <w:lang w:val="en-US" w:eastAsia="zh-CN"/>
        </w:rPr>
      </w:pPr>
      <w:r>
        <w:rPr>
          <w:rFonts w:hint="eastAsia" w:ascii="宋体" w:hAnsi="宋体" w:eastAsia="宋体" w:cs="宋体"/>
          <w:i w:val="0"/>
          <w:caps w:val="0"/>
          <w:color w:val="070707"/>
          <w:spacing w:val="0"/>
          <w:sz w:val="16"/>
          <w:szCs w:val="16"/>
        </w:rPr>
        <w:br w:type="textWrapping"/>
      </w:r>
      <w:r>
        <w:rPr>
          <w:rFonts w:hint="eastAsia"/>
          <w:sz w:val="21"/>
          <w:szCs w:val="21"/>
          <w:lang w:val="en-US" w:eastAsia="zh-CN"/>
        </w:rPr>
        <w:t>各省、自治区、直辖市及计划单列市、新疆生产建设兵团中小企业主管部门、财政厅（局），有关单位：</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为贯彻落实党中央、国务院关于“完善创业创新环境”，“充分发挥‘创客中国’大赛等品牌赛事活动作用，对各类赛事活动中涌现的优秀创新创业项目加强后续跟踪支持”等部署，进一步激发“双创”活力，引导增强市场信心，工业和信息化部、财政部将共同举办</w:t>
      </w:r>
      <w:r>
        <w:rPr>
          <w:rFonts w:hint="default"/>
          <w:sz w:val="21"/>
          <w:szCs w:val="21"/>
          <w:lang w:val="en-US" w:eastAsia="zh-CN"/>
        </w:rPr>
        <w:t>2019</w:t>
      </w:r>
      <w:r>
        <w:rPr>
          <w:rFonts w:hint="eastAsia"/>
          <w:sz w:val="21"/>
          <w:szCs w:val="21"/>
          <w:lang w:val="en-US" w:eastAsia="zh-CN"/>
        </w:rPr>
        <w:t>年“创客中国”中小企业创新创业大赛（以下简称大赛）。现将有关事项通知如下：</w:t>
      </w:r>
      <w:r>
        <w:rPr>
          <w:rFonts w:hint="eastAsia"/>
          <w:sz w:val="21"/>
          <w:szCs w:val="21"/>
          <w:lang w:val="en-US" w:eastAsia="zh-CN"/>
        </w:rPr>
        <w:br w:type="textWrapping"/>
      </w:r>
      <w:r>
        <w:rPr>
          <w:rFonts w:hint="eastAsia" w:ascii="黑体" w:hAnsi="黑体" w:eastAsia="黑体" w:cs="黑体"/>
          <w:sz w:val="21"/>
          <w:szCs w:val="21"/>
          <w:lang w:val="en-US" w:eastAsia="zh-CN"/>
        </w:rPr>
        <w:t>　　一、大赛目的</w:t>
      </w:r>
      <w:r>
        <w:rPr>
          <w:rFonts w:hint="eastAsia" w:ascii="黑体" w:hAnsi="黑体" w:eastAsia="黑体" w:cs="黑体"/>
          <w:sz w:val="21"/>
          <w:szCs w:val="21"/>
          <w:lang w:val="en-US" w:eastAsia="zh-CN"/>
        </w:rPr>
        <w:br w:type="textWrapping"/>
      </w:r>
      <w:r>
        <w:rPr>
          <w:rFonts w:hint="default"/>
          <w:sz w:val="21"/>
          <w:szCs w:val="21"/>
          <w:lang w:val="en-US" w:eastAsia="zh-CN"/>
        </w:rPr>
        <w:t>　　</w:t>
      </w:r>
      <w:r>
        <w:rPr>
          <w:rFonts w:hint="eastAsia"/>
          <w:sz w:val="21"/>
          <w:szCs w:val="21"/>
          <w:lang w:val="en-US" w:eastAsia="zh-CN"/>
        </w:rPr>
        <w:t>激发创新潜力，集聚创业资源，营造“双创”氛围，共同打造为中小企业和创客提供交流展示、产融对接、项目孵化的平台，发掘和培育一批优秀项目和优秀团队，催生新产品、新技术、新模式和新业态；提升中小企业专业化能力和水平，推动中小企业转型升级和成长为专精特新“小巨人”企业，促进大中小企业协同创新发展，助力制造强国和网络强国建设。</w:t>
      </w:r>
      <w:r>
        <w:rPr>
          <w:rFonts w:hint="eastAsia"/>
          <w:sz w:val="21"/>
          <w:szCs w:val="21"/>
          <w:lang w:val="en-US" w:eastAsia="zh-CN"/>
        </w:rPr>
        <w:br w:type="textWrapping"/>
      </w:r>
      <w:r>
        <w:rPr>
          <w:rFonts w:hint="default" w:ascii="黑体" w:hAnsi="黑体" w:eastAsia="黑体" w:cs="黑体"/>
          <w:sz w:val="21"/>
          <w:szCs w:val="21"/>
          <w:lang w:val="en-US" w:eastAsia="zh-CN"/>
        </w:rPr>
        <w:t>　　</w:t>
      </w:r>
      <w:r>
        <w:rPr>
          <w:rFonts w:hint="eastAsia" w:ascii="黑体" w:hAnsi="黑体" w:eastAsia="黑体" w:cs="黑体"/>
          <w:sz w:val="21"/>
          <w:szCs w:val="21"/>
          <w:lang w:val="en-US" w:eastAsia="zh-CN"/>
        </w:rPr>
        <w:t>二、组织机制</w:t>
      </w:r>
      <w:r>
        <w:rPr>
          <w:rFonts w:hint="eastAsia" w:ascii="黑体" w:hAnsi="黑体" w:eastAsia="黑体" w:cs="黑体"/>
          <w:sz w:val="21"/>
          <w:szCs w:val="21"/>
          <w:lang w:val="en-US" w:eastAsia="zh-CN"/>
        </w:rPr>
        <w:br w:type="textWrapping"/>
      </w:r>
      <w:r>
        <w:rPr>
          <w:rFonts w:hint="default"/>
          <w:sz w:val="21"/>
          <w:szCs w:val="21"/>
          <w:lang w:val="en-US" w:eastAsia="zh-CN"/>
        </w:rPr>
        <w:t>　　</w:t>
      </w:r>
      <w:r>
        <w:rPr>
          <w:rFonts w:hint="eastAsia"/>
          <w:sz w:val="21"/>
          <w:szCs w:val="21"/>
          <w:lang w:val="en-US" w:eastAsia="zh-CN"/>
        </w:rPr>
        <w:t>大赛设立组委会，负责大赛的组织实施。工业和信息化部苗圩部长担任组委会主席，工业和信息化部王江平副部长担任组委会副主席；组委会成员单位包括工业和信息化部相关司局及部信息中心、财政部经济建设司等。</w:t>
      </w:r>
      <w:r>
        <w:rPr>
          <w:rFonts w:hint="eastAsia"/>
          <w:sz w:val="21"/>
          <w:szCs w:val="21"/>
          <w:lang w:val="en-US" w:eastAsia="zh-CN"/>
        </w:rPr>
        <w:br w:type="textWrapping"/>
      </w:r>
      <w:r>
        <w:rPr>
          <w:rFonts w:hint="default"/>
          <w:sz w:val="21"/>
          <w:szCs w:val="21"/>
          <w:lang w:val="en-US" w:eastAsia="zh-CN"/>
        </w:rPr>
        <w:t>　　</w:t>
      </w:r>
      <w:r>
        <w:rPr>
          <w:rFonts w:hint="eastAsia"/>
          <w:sz w:val="21"/>
          <w:szCs w:val="21"/>
          <w:lang w:val="en-US" w:eastAsia="zh-CN"/>
        </w:rPr>
        <w:t>组委会下设秘书处，负责统筹推进大赛相关事项。秘书处主任由工业和信息化部中小企业局马向晖局长担任，副主任由财政部经济建设司濮剑鹏副司长、工业和信息化部信息中心付京波主任担任。秘书处下设办公室，设在工业和信息化部信息中心，承担赛事组织协调、宣传推广和技术保障等工作。</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大赛设立专家委员会，负责提供咨询服务、完善项目评审规则等。</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ascii="黑体" w:hAnsi="黑体" w:eastAsia="黑体" w:cs="黑体"/>
          <w:sz w:val="21"/>
          <w:szCs w:val="21"/>
          <w:lang w:val="en-US" w:eastAsia="zh-CN"/>
        </w:rPr>
        <w:t>三、赛事安排</w:t>
      </w:r>
      <w:r>
        <w:rPr>
          <w:rFonts w:hint="eastAsia" w:ascii="黑体" w:hAnsi="黑体" w:eastAsia="黑体" w:cs="黑体"/>
          <w:sz w:val="21"/>
          <w:szCs w:val="21"/>
          <w:lang w:val="en-US" w:eastAsia="zh-CN"/>
        </w:rPr>
        <w:br w:type="textWrapping"/>
      </w:r>
      <w:r>
        <w:rPr>
          <w:rFonts w:hint="default"/>
          <w:sz w:val="21"/>
          <w:szCs w:val="21"/>
          <w:lang w:val="en-US" w:eastAsia="zh-CN"/>
        </w:rPr>
        <w:t>　　</w:t>
      </w:r>
      <w:r>
        <w:rPr>
          <w:rFonts w:hint="eastAsia"/>
          <w:sz w:val="21"/>
          <w:szCs w:val="21"/>
          <w:lang w:val="en-US" w:eastAsia="zh-CN"/>
        </w:rPr>
        <w:t>（一）赛事组成。大赛由区域赛、专题赛和总决赛组成（组织方案见附件</w:t>
      </w:r>
      <w:r>
        <w:rPr>
          <w:rFonts w:hint="default"/>
          <w:sz w:val="21"/>
          <w:szCs w:val="21"/>
          <w:lang w:val="en-US" w:eastAsia="zh-CN"/>
        </w:rPr>
        <w:t>1</w:t>
      </w:r>
      <w:r>
        <w:rPr>
          <w:rFonts w:hint="eastAsia"/>
          <w:sz w:val="21"/>
          <w:szCs w:val="21"/>
          <w:lang w:val="en-US" w:eastAsia="zh-CN"/>
        </w:rPr>
        <w:t>）。区域赛由省级中小企业主管部门牵头主办，着力发掘和推荐本地区、本领域创新能力较强、发展潜力较大的中小微企业。专题赛由秘书处办公室会同国内外行业协会、大企业，园区（中外合作区），工业和信息化部部属各高校和地方政府等主办，聚焦中小企业发展热点、难点问题，聚焦实体经济和制造业，聚焦行业和专业领域关键技术和创新产品。总决赛由工业和信息化部、财政部主办，具体由工业和信息化部信息中心、所在地省级中小企业主管部门承办，通过区域赛和专题赛推荐优秀项目参加总决赛。</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（二）参赛报名。符合条件的企业和创客（以下统称参赛者）均可报名参赛，参赛者通过大赛官网（</w:t>
      </w:r>
      <w:r>
        <w:rPr>
          <w:rFonts w:hint="eastAsia"/>
          <w:sz w:val="21"/>
          <w:szCs w:val="21"/>
          <w:lang w:val="en-US" w:eastAsia="zh-CN"/>
        </w:rPr>
        <w:fldChar w:fldCharType="begin"/>
      </w:r>
      <w:r>
        <w:rPr>
          <w:rFonts w:hint="eastAsia"/>
          <w:sz w:val="21"/>
          <w:szCs w:val="21"/>
          <w:lang w:val="en-US" w:eastAsia="zh-CN"/>
        </w:rPr>
        <w:instrText xml:space="preserve"> HYPERLINK "http://www.cnmaker.org.cn/contest" </w:instrText>
      </w:r>
      <w:r>
        <w:rPr>
          <w:rFonts w:hint="eastAsia"/>
          <w:sz w:val="21"/>
          <w:szCs w:val="21"/>
          <w:lang w:val="en-US" w:eastAsia="zh-CN"/>
        </w:rPr>
        <w:fldChar w:fldCharType="separate"/>
      </w:r>
      <w:r>
        <w:rPr>
          <w:rFonts w:hint="eastAsia"/>
          <w:sz w:val="21"/>
          <w:szCs w:val="21"/>
          <w:lang w:val="en-US" w:eastAsia="zh-CN"/>
        </w:rPr>
        <w:t>http://www.cnmaker.org.cn</w:t>
      </w:r>
      <w:r>
        <w:rPr>
          <w:rFonts w:hint="eastAsia"/>
          <w:sz w:val="21"/>
          <w:szCs w:val="21"/>
          <w:lang w:val="en-US" w:eastAsia="zh-CN"/>
        </w:rPr>
        <w:fldChar w:fldCharType="end"/>
      </w:r>
      <w:r>
        <w:rPr>
          <w:rFonts w:hint="eastAsia"/>
          <w:sz w:val="21"/>
          <w:szCs w:val="21"/>
          <w:lang w:val="en-US" w:eastAsia="zh-CN"/>
        </w:rPr>
        <w:t>）注册报名（流程见附件</w:t>
      </w:r>
      <w:r>
        <w:rPr>
          <w:rFonts w:hint="default"/>
          <w:sz w:val="21"/>
          <w:szCs w:val="21"/>
          <w:lang w:val="en-US" w:eastAsia="zh-CN"/>
        </w:rPr>
        <w:t>2</w:t>
      </w:r>
      <w:r>
        <w:rPr>
          <w:rFonts w:hint="eastAsia"/>
          <w:sz w:val="21"/>
          <w:szCs w:val="21"/>
          <w:lang w:val="en-US" w:eastAsia="zh-CN"/>
        </w:rPr>
        <w:t>），未注册登记的参赛者不得参加大赛。大赛不向参赛者收取任何费用。区域赛项目报名截止日期为</w:t>
      </w:r>
      <w:r>
        <w:rPr>
          <w:rFonts w:hint="default"/>
          <w:sz w:val="21"/>
          <w:szCs w:val="21"/>
          <w:lang w:val="en-US" w:eastAsia="zh-CN"/>
        </w:rPr>
        <w:t>2019</w:t>
      </w:r>
      <w:r>
        <w:rPr>
          <w:rFonts w:hint="eastAsia"/>
          <w:sz w:val="21"/>
          <w:szCs w:val="21"/>
          <w:lang w:val="en-US" w:eastAsia="zh-CN"/>
        </w:rPr>
        <w:t>年</w:t>
      </w:r>
      <w:r>
        <w:rPr>
          <w:rFonts w:hint="default"/>
          <w:sz w:val="21"/>
          <w:szCs w:val="21"/>
          <w:lang w:val="en-US" w:eastAsia="zh-CN"/>
        </w:rPr>
        <w:t>6</w:t>
      </w:r>
      <w:r>
        <w:rPr>
          <w:rFonts w:hint="eastAsia"/>
          <w:sz w:val="21"/>
          <w:szCs w:val="21"/>
          <w:lang w:val="en-US" w:eastAsia="zh-CN"/>
        </w:rPr>
        <w:t>月</w:t>
      </w:r>
      <w:r>
        <w:rPr>
          <w:rFonts w:hint="default"/>
          <w:sz w:val="21"/>
          <w:szCs w:val="21"/>
          <w:lang w:val="en-US" w:eastAsia="zh-CN"/>
        </w:rPr>
        <w:t>30</w:t>
      </w:r>
      <w:r>
        <w:rPr>
          <w:rFonts w:hint="eastAsia"/>
          <w:sz w:val="21"/>
          <w:szCs w:val="21"/>
          <w:lang w:val="en-US" w:eastAsia="zh-CN"/>
        </w:rPr>
        <w:t>日，专题赛项目报名截止日期另行通知。</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三）对接服务报名。国家中小企业发展基金、有意愿的投融资机构、小微企业创业创新基地、中小企业公共服务平台等通过大赛官网报名，发挥技术、资本、市场等资源优势，促进产融对接、孵化落地和成果转化等。</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（四）参赛比选。总决赛采取“现场演示和答辩、当场亮分”评选方式，设置一等奖、二等奖、三等奖、优胜奖，颁发奖金和证书。大赛同时设置入围奖</w:t>
      </w:r>
      <w:r>
        <w:rPr>
          <w:rFonts w:hint="default"/>
          <w:sz w:val="21"/>
          <w:szCs w:val="21"/>
          <w:lang w:val="en-US" w:eastAsia="zh-CN"/>
        </w:rPr>
        <w:t>200</w:t>
      </w:r>
      <w:r>
        <w:rPr>
          <w:rFonts w:hint="eastAsia"/>
          <w:sz w:val="21"/>
          <w:szCs w:val="21"/>
          <w:lang w:val="en-US" w:eastAsia="zh-CN"/>
        </w:rPr>
        <w:t>名和优秀组织单位、优秀对接服务单位，对大赛筹备、组织实施以及后续对接服务中工作突出、成效显著的单位进行表彰。</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四、政策激励</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获奖项目可获得以下支持：</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一）宣传展示。通过“创客中国”大赛数字展馆、“创客中国”国家创新创业公共服务平台（包括“创客中国”微信公众号、微博、创客中国头条和直播室等）、中国国际中小企业博览会、APEC中小企业技术交流暨展览会等渠道，对参赛项目、“双创”资源和对接成果进行展览展示、宣传报道和服务推介。</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（二）投融资对接。向国家中小企业发展基金等投资基金、创业投资机构、银行等推荐，组织线上线下需求对接、产融对接、大中小企业融通等活动，集聚带动各类投融资机构为参赛企业提供多元化服务。</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（三）落地入驻园区。入驻国家新型工业化产业示范基地、国家小型微型企业创业创新示范基地、中外中小企业合作区、产业小镇等，享受最新创业扶植政策和创业孵化服务，加速实现产业化。</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四）成果转化技术服务。提供国家中小企业公共服务示范平台上的检验检测、技术转移、工业设计、解决方案等技术服务，以及法律、人力资源、财务、知识产权等服务。安排创业导师和技术、投资、管理专家进行辅导。</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财政部会同工业和信息化部结合有关地区、企业创业创新活跃度等因素，统筹研究予以支持，有关情况另行通知。</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ascii="黑体" w:hAnsi="黑体" w:eastAsia="黑体" w:cs="黑体"/>
          <w:sz w:val="21"/>
          <w:szCs w:val="21"/>
          <w:lang w:val="en-US" w:eastAsia="zh-CN"/>
        </w:rPr>
        <w:t>五、工作要求</w:t>
      </w:r>
      <w:r>
        <w:rPr>
          <w:rFonts w:hint="eastAsia" w:ascii="黑体" w:hAnsi="黑体" w:eastAsia="黑体" w:cs="黑体"/>
          <w:sz w:val="21"/>
          <w:szCs w:val="21"/>
          <w:lang w:val="en-US" w:eastAsia="zh-CN"/>
        </w:rPr>
        <w:br w:type="textWrapping"/>
      </w:r>
      <w:r>
        <w:rPr>
          <w:rFonts w:hint="default"/>
          <w:sz w:val="21"/>
          <w:szCs w:val="21"/>
          <w:lang w:val="en-US" w:eastAsia="zh-CN"/>
        </w:rPr>
        <w:t>　　</w:t>
      </w:r>
      <w:r>
        <w:rPr>
          <w:rFonts w:hint="eastAsia"/>
          <w:sz w:val="21"/>
          <w:szCs w:val="21"/>
          <w:lang w:val="en-US" w:eastAsia="zh-CN"/>
        </w:rPr>
        <w:t>（一）省级中小企业主管部门应结合本地发展实际和产业特点，积极牵头举办区域赛，于</w:t>
      </w:r>
      <w:r>
        <w:rPr>
          <w:rFonts w:hint="default"/>
          <w:sz w:val="21"/>
          <w:szCs w:val="21"/>
          <w:lang w:val="en-US" w:eastAsia="zh-CN"/>
        </w:rPr>
        <w:t>2019</w:t>
      </w:r>
      <w:r>
        <w:rPr>
          <w:rFonts w:hint="eastAsia"/>
          <w:sz w:val="21"/>
          <w:szCs w:val="21"/>
          <w:lang w:val="en-US" w:eastAsia="zh-CN"/>
        </w:rPr>
        <w:t>年</w:t>
      </w:r>
      <w:r>
        <w:rPr>
          <w:rFonts w:hint="default"/>
          <w:sz w:val="21"/>
          <w:szCs w:val="21"/>
          <w:lang w:val="en-US" w:eastAsia="zh-CN"/>
        </w:rPr>
        <w:t>6</w:t>
      </w:r>
      <w:r>
        <w:rPr>
          <w:rFonts w:hint="eastAsia"/>
          <w:sz w:val="21"/>
          <w:szCs w:val="21"/>
          <w:lang w:val="en-US" w:eastAsia="zh-CN"/>
        </w:rPr>
        <w:t>月底前填写《</w:t>
      </w:r>
      <w:r>
        <w:rPr>
          <w:rFonts w:hint="default"/>
          <w:sz w:val="21"/>
          <w:szCs w:val="21"/>
          <w:lang w:val="en-US" w:eastAsia="zh-CN"/>
        </w:rPr>
        <w:t>2019</w:t>
      </w:r>
      <w:r>
        <w:rPr>
          <w:rFonts w:hint="eastAsia"/>
          <w:sz w:val="21"/>
          <w:szCs w:val="21"/>
          <w:lang w:val="en-US" w:eastAsia="zh-CN"/>
        </w:rPr>
        <w:t>年“创客中国”中小企业创新创业大赛申报（备案）表》（见附件</w:t>
      </w:r>
      <w:r>
        <w:rPr>
          <w:rFonts w:hint="default"/>
          <w:sz w:val="21"/>
          <w:szCs w:val="21"/>
          <w:lang w:val="en-US" w:eastAsia="zh-CN"/>
        </w:rPr>
        <w:t>3</w:t>
      </w:r>
      <w:r>
        <w:rPr>
          <w:rFonts w:hint="eastAsia"/>
          <w:sz w:val="21"/>
          <w:szCs w:val="21"/>
          <w:lang w:val="en-US" w:eastAsia="zh-CN"/>
        </w:rPr>
        <w:t>），报大赛组委会备案，同时抄送省级财政部门，并建立动态跟踪和服务机制。</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（二）秘书处办公室应聚焦实体经济中新材料、人工智能、工业互联网、智能制造和大数据等领域，牵头举办专题赛。专题赛联合主办方，于</w:t>
      </w:r>
      <w:r>
        <w:rPr>
          <w:rFonts w:hint="default"/>
          <w:sz w:val="21"/>
          <w:szCs w:val="21"/>
          <w:lang w:val="en-US" w:eastAsia="zh-CN"/>
        </w:rPr>
        <w:t>2019</w:t>
      </w:r>
      <w:r>
        <w:rPr>
          <w:rFonts w:hint="eastAsia"/>
          <w:sz w:val="21"/>
          <w:szCs w:val="21"/>
          <w:lang w:val="en-US" w:eastAsia="zh-CN"/>
        </w:rPr>
        <w:t>年</w:t>
      </w:r>
      <w:r>
        <w:rPr>
          <w:rFonts w:hint="default"/>
          <w:sz w:val="21"/>
          <w:szCs w:val="21"/>
          <w:lang w:val="en-US" w:eastAsia="zh-CN"/>
        </w:rPr>
        <w:t>6</w:t>
      </w:r>
      <w:r>
        <w:rPr>
          <w:rFonts w:hint="eastAsia"/>
          <w:sz w:val="21"/>
          <w:szCs w:val="21"/>
          <w:lang w:val="en-US" w:eastAsia="zh-CN"/>
        </w:rPr>
        <w:t>月底前填写《</w:t>
      </w:r>
      <w:r>
        <w:rPr>
          <w:rFonts w:hint="default"/>
          <w:sz w:val="21"/>
          <w:szCs w:val="21"/>
          <w:lang w:val="en-US" w:eastAsia="zh-CN"/>
        </w:rPr>
        <w:t>2019</w:t>
      </w:r>
      <w:r>
        <w:rPr>
          <w:rFonts w:hint="eastAsia"/>
          <w:sz w:val="21"/>
          <w:szCs w:val="21"/>
          <w:lang w:val="en-US" w:eastAsia="zh-CN"/>
        </w:rPr>
        <w:t>年“创客中国”中小企业创新创业大赛申报（备案）表》，报大赛秘书处办公室审核，并由秘书处办公室告知专题赛所在地的省级中小企业主管部门，同时抄送省级财政部门。</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三）各地中小企业主管部门、国家小型微型企业创业创新示范基地、国家中小企业公共服务示范平台及赛事主办单位要充分发挥各类新闻媒体作用，加强赛前动员、赛中展示、赛后成果的宣传，扩大大赛影响力。</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四）大赛采取公开透明和公平公正的方式产生奖项。赛事主办单位和参赛者要严格遵守相关规定，违反大赛要求的主办单位，取消推荐资格。对于重复申报、剽窃、侵夺他人创新成果，以及用其他不正当手段骗取奖项的参赛者，取消参赛资格。</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（五）赛事主办单位要认真做好工作总结，于赛事结束</w:t>
      </w:r>
      <w:r>
        <w:rPr>
          <w:rFonts w:hint="default"/>
          <w:sz w:val="21"/>
          <w:szCs w:val="21"/>
          <w:lang w:val="en-US" w:eastAsia="zh-CN"/>
        </w:rPr>
        <w:t>30</w:t>
      </w:r>
      <w:r>
        <w:rPr>
          <w:rFonts w:hint="eastAsia"/>
          <w:sz w:val="21"/>
          <w:szCs w:val="21"/>
          <w:lang w:val="en-US" w:eastAsia="zh-CN"/>
        </w:rPr>
        <w:t>天内，将区域赛赛事总结报送大赛组委会、专题赛赛事总结报大赛秘书处办公室。</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工业和信息化部依托第三方平台密切跟踪获奖项目落地情况、区域创业活跃程度和创新活力程度，定期汇总分析。</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ascii="黑体" w:hAnsi="黑体" w:eastAsia="黑体" w:cs="黑体"/>
          <w:sz w:val="21"/>
          <w:szCs w:val="21"/>
          <w:lang w:val="en-US" w:eastAsia="zh-CN"/>
        </w:rPr>
        <w:t>六、联系方式</w:t>
      </w:r>
      <w:r>
        <w:rPr>
          <w:rFonts w:hint="eastAsia" w:ascii="黑体" w:hAnsi="黑体" w:eastAsia="黑体" w:cs="黑体"/>
          <w:sz w:val="21"/>
          <w:szCs w:val="21"/>
          <w:lang w:val="en-US" w:eastAsia="zh-CN"/>
        </w:rPr>
        <w:br w:type="textWrapping"/>
      </w:r>
      <w:r>
        <w:rPr>
          <w:rFonts w:hint="default"/>
          <w:sz w:val="21"/>
          <w:szCs w:val="21"/>
          <w:lang w:val="en-US" w:eastAsia="zh-CN"/>
        </w:rPr>
        <w:t>　　</w:t>
      </w:r>
      <w:r>
        <w:rPr>
          <w:rFonts w:hint="eastAsia"/>
          <w:sz w:val="21"/>
          <w:szCs w:val="21"/>
          <w:lang w:val="en-US" w:eastAsia="zh-CN"/>
        </w:rPr>
        <w:t>（一）大赛组委会</w:t>
      </w:r>
      <w:r>
        <w:rPr>
          <w:rFonts w:hint="eastAsia"/>
          <w:sz w:val="21"/>
          <w:szCs w:val="21"/>
          <w:lang w:val="en-US" w:eastAsia="zh-CN"/>
        </w:rPr>
        <w:br w:type="textWrapping"/>
      </w:r>
      <w:r>
        <w:rPr>
          <w:rFonts w:hint="default"/>
          <w:sz w:val="21"/>
          <w:szCs w:val="21"/>
          <w:lang w:val="en-US" w:eastAsia="zh-CN"/>
        </w:rPr>
        <w:t>　　</w:t>
      </w:r>
      <w:r>
        <w:rPr>
          <w:rFonts w:hint="eastAsia"/>
          <w:sz w:val="21"/>
          <w:szCs w:val="21"/>
          <w:lang w:val="en-US" w:eastAsia="zh-CN"/>
        </w:rPr>
        <w:t>工业和信息化部中小企业局创业创新服务处</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default"/>
          <w:sz w:val="21"/>
          <w:szCs w:val="21"/>
          <w:lang w:val="en-US" w:eastAsia="zh-CN"/>
        </w:rPr>
        <w:t>010</w:t>
      </w:r>
      <w:r>
        <w:rPr>
          <w:rFonts w:hint="eastAsia"/>
          <w:sz w:val="21"/>
          <w:szCs w:val="21"/>
          <w:lang w:val="en-US" w:eastAsia="zh-CN"/>
        </w:rPr>
        <w:t>-</w:t>
      </w:r>
      <w:r>
        <w:rPr>
          <w:rFonts w:hint="default"/>
          <w:sz w:val="21"/>
          <w:szCs w:val="21"/>
          <w:lang w:val="en-US" w:eastAsia="zh-CN"/>
        </w:rPr>
        <w:t>68205301</w:t>
      </w:r>
      <w:r>
        <w:rPr>
          <w:rFonts w:hint="eastAsia"/>
          <w:sz w:val="21"/>
          <w:szCs w:val="21"/>
          <w:lang w:val="en-US" w:eastAsia="zh-CN"/>
        </w:rPr>
        <w:t>/</w:t>
      </w:r>
      <w:r>
        <w:rPr>
          <w:rFonts w:hint="eastAsia"/>
          <w:sz w:val="21"/>
          <w:szCs w:val="21"/>
          <w:lang w:val="en-US" w:eastAsia="zh-CN"/>
        </w:rPr>
        <w:fldChar w:fldCharType="begin"/>
      </w:r>
      <w:r>
        <w:rPr>
          <w:rFonts w:hint="eastAsia"/>
          <w:sz w:val="21"/>
          <w:szCs w:val="21"/>
          <w:lang w:val="en-US" w:eastAsia="zh-CN"/>
        </w:rPr>
        <w:instrText xml:space="preserve"> HYPERLINK "mailto:cxfwc@sme.gov.cn" </w:instrText>
      </w:r>
      <w:r>
        <w:rPr>
          <w:rFonts w:hint="eastAsia"/>
          <w:sz w:val="21"/>
          <w:szCs w:val="21"/>
          <w:lang w:val="en-US" w:eastAsia="zh-CN"/>
        </w:rPr>
        <w:fldChar w:fldCharType="separate"/>
      </w:r>
      <w:r>
        <w:rPr>
          <w:rFonts w:hint="eastAsia"/>
          <w:sz w:val="21"/>
          <w:szCs w:val="21"/>
          <w:lang w:val="en-US" w:eastAsia="zh-CN"/>
        </w:rPr>
        <w:t>cxfwc@miit.gov.cn</w:t>
      </w:r>
      <w:r>
        <w:rPr>
          <w:rFonts w:hint="eastAsia"/>
          <w:sz w:val="21"/>
          <w:szCs w:val="21"/>
          <w:lang w:val="en-US" w:eastAsia="zh-CN"/>
        </w:rPr>
        <w:fldChar w:fldCharType="end"/>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财政部经济建设司产业政策处  </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default"/>
          <w:sz w:val="21"/>
          <w:szCs w:val="21"/>
          <w:lang w:val="en-US" w:eastAsia="zh-CN"/>
        </w:rPr>
        <w:t>010</w:t>
      </w:r>
      <w:r>
        <w:rPr>
          <w:rFonts w:hint="eastAsia"/>
          <w:sz w:val="21"/>
          <w:szCs w:val="21"/>
          <w:lang w:val="en-US" w:eastAsia="zh-CN"/>
        </w:rPr>
        <w:t>-</w:t>
      </w:r>
      <w:r>
        <w:rPr>
          <w:rFonts w:hint="default"/>
          <w:sz w:val="21"/>
          <w:szCs w:val="21"/>
          <w:lang w:val="en-US" w:eastAsia="zh-CN"/>
        </w:rPr>
        <w:t>68553591</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（二）大赛秘书处办公室</w:t>
      </w:r>
      <w:r>
        <w:rPr>
          <w:rFonts w:hint="eastAsia"/>
          <w:sz w:val="21"/>
          <w:szCs w:val="21"/>
          <w:lang w:val="en-US" w:eastAsia="zh-CN"/>
        </w:rPr>
        <w:br w:type="textWrapping"/>
      </w:r>
      <w:r>
        <w:rPr>
          <w:rFonts w:hint="default"/>
          <w:sz w:val="21"/>
          <w:szCs w:val="21"/>
          <w:lang w:val="en-US" w:eastAsia="zh-CN"/>
        </w:rPr>
        <w:t>　　</w:t>
      </w:r>
      <w:r>
        <w:rPr>
          <w:rFonts w:hint="eastAsia"/>
          <w:sz w:val="21"/>
          <w:szCs w:val="21"/>
          <w:lang w:val="en-US" w:eastAsia="zh-CN"/>
        </w:rPr>
        <w:t>联系人：工业和信息化部信息中心</w:t>
      </w:r>
      <w:r>
        <w:rPr>
          <w:rFonts w:hint="default"/>
          <w:sz w:val="21"/>
          <w:szCs w:val="21"/>
          <w:lang w:val="en-US" w:eastAsia="zh-CN"/>
        </w:rPr>
        <w:t> </w:t>
      </w:r>
      <w:r>
        <w:rPr>
          <w:rFonts w:hint="eastAsia"/>
          <w:sz w:val="21"/>
          <w:szCs w:val="21"/>
          <w:lang w:val="en-US" w:eastAsia="zh-CN"/>
        </w:rPr>
        <w:t>陈子雄</w:t>
      </w:r>
      <w:r>
        <w:rPr>
          <w:rFonts w:hint="eastAsia"/>
          <w:sz w:val="21"/>
          <w:szCs w:val="21"/>
          <w:lang w:val="en-US" w:eastAsia="zh-CN"/>
        </w:rPr>
        <w:br w:type="textWrapping"/>
      </w:r>
      <w:r>
        <w:rPr>
          <w:rFonts w:hint="default"/>
          <w:sz w:val="21"/>
          <w:szCs w:val="21"/>
          <w:lang w:val="en-US" w:eastAsia="zh-CN"/>
        </w:rPr>
        <w:t>　　</w:t>
      </w:r>
      <w:r>
        <w:rPr>
          <w:rFonts w:hint="eastAsia"/>
          <w:sz w:val="21"/>
          <w:szCs w:val="21"/>
          <w:lang w:val="en-US" w:eastAsia="zh-CN"/>
        </w:rPr>
        <w:t>电 话：</w:t>
      </w:r>
      <w:r>
        <w:rPr>
          <w:rFonts w:hint="default"/>
          <w:sz w:val="21"/>
          <w:szCs w:val="21"/>
          <w:lang w:val="en-US" w:eastAsia="zh-CN"/>
        </w:rPr>
        <w:t>010</w:t>
      </w:r>
      <w:r>
        <w:rPr>
          <w:rFonts w:hint="eastAsia"/>
          <w:sz w:val="21"/>
          <w:szCs w:val="21"/>
          <w:lang w:val="en-US" w:eastAsia="zh-CN"/>
        </w:rPr>
        <w:t>-</w:t>
      </w:r>
      <w:r>
        <w:rPr>
          <w:rFonts w:hint="default"/>
          <w:sz w:val="21"/>
          <w:szCs w:val="21"/>
          <w:lang w:val="en-US" w:eastAsia="zh-CN"/>
        </w:rPr>
        <w:t>68200372</w:t>
      </w:r>
      <w:r>
        <w:rPr>
          <w:rFonts w:hint="eastAsia"/>
          <w:sz w:val="21"/>
          <w:szCs w:val="21"/>
          <w:lang w:val="en-US" w:eastAsia="zh-CN"/>
        </w:rPr>
        <w:t>/</w:t>
      </w:r>
      <w:r>
        <w:rPr>
          <w:rFonts w:hint="default"/>
          <w:sz w:val="21"/>
          <w:szCs w:val="21"/>
          <w:lang w:val="en-US" w:eastAsia="zh-CN"/>
        </w:rPr>
        <w:t>010</w:t>
      </w:r>
      <w:r>
        <w:rPr>
          <w:rFonts w:hint="eastAsia"/>
          <w:sz w:val="21"/>
          <w:szCs w:val="21"/>
          <w:lang w:val="en-US" w:eastAsia="zh-CN"/>
        </w:rPr>
        <w:t>-</w:t>
      </w:r>
      <w:r>
        <w:rPr>
          <w:rFonts w:hint="default"/>
          <w:sz w:val="21"/>
          <w:szCs w:val="21"/>
          <w:lang w:val="en-US" w:eastAsia="zh-CN"/>
        </w:rPr>
        <w:t>68200336</w:t>
      </w:r>
      <w:r>
        <w:rPr>
          <w:rFonts w:hint="eastAsia"/>
          <w:sz w:val="21"/>
          <w:szCs w:val="21"/>
          <w:lang w:val="en-US" w:eastAsia="zh-CN"/>
        </w:rPr>
        <w:br w:type="textWrapping"/>
      </w:r>
      <w:r>
        <w:rPr>
          <w:rFonts w:hint="default"/>
          <w:sz w:val="21"/>
          <w:szCs w:val="21"/>
          <w:lang w:val="en-US" w:eastAsia="zh-CN"/>
        </w:rPr>
        <w:t>　　</w:t>
      </w:r>
      <w:r>
        <w:rPr>
          <w:rFonts w:hint="eastAsia"/>
          <w:sz w:val="21"/>
          <w:szCs w:val="21"/>
          <w:lang w:val="en-US" w:eastAsia="zh-CN"/>
        </w:rPr>
        <w:t>电子邮箱：</w:t>
      </w:r>
      <w:r>
        <w:rPr>
          <w:rFonts w:hint="eastAsia"/>
          <w:sz w:val="21"/>
          <w:szCs w:val="21"/>
          <w:lang w:val="en-US" w:eastAsia="zh-CN"/>
        </w:rPr>
        <w:fldChar w:fldCharType="begin"/>
      </w:r>
      <w:r>
        <w:rPr>
          <w:rFonts w:hint="eastAsia"/>
          <w:sz w:val="21"/>
          <w:szCs w:val="21"/>
          <w:lang w:val="en-US" w:eastAsia="zh-CN"/>
        </w:rPr>
        <w:instrText xml:space="preserve"> HYPERLINK "mailto:cnmaker@miit.gov.cn" </w:instrText>
      </w:r>
      <w:r>
        <w:rPr>
          <w:rFonts w:hint="eastAsia"/>
          <w:sz w:val="21"/>
          <w:szCs w:val="21"/>
          <w:lang w:val="en-US" w:eastAsia="zh-CN"/>
        </w:rPr>
        <w:fldChar w:fldCharType="separate"/>
      </w:r>
      <w:r>
        <w:rPr>
          <w:rFonts w:hint="eastAsia"/>
          <w:sz w:val="21"/>
          <w:szCs w:val="21"/>
          <w:lang w:val="en-US" w:eastAsia="zh-CN"/>
        </w:rPr>
        <w:t>cnmaker@miit.gov.cn</w:t>
      </w:r>
      <w:r>
        <w:rPr>
          <w:rFonts w:hint="eastAsia"/>
          <w:sz w:val="21"/>
          <w:szCs w:val="21"/>
          <w:lang w:val="en-US" w:eastAsia="zh-CN"/>
        </w:rPr>
        <w:fldChar w:fldCharType="end"/>
      </w:r>
      <w:r>
        <w:rPr>
          <w:rFonts w:hint="eastAsia"/>
          <w:sz w:val="21"/>
          <w:szCs w:val="21"/>
          <w:lang w:val="en-US" w:eastAsia="zh-CN"/>
        </w:rPr>
        <w:br w:type="textWrapping"/>
      </w:r>
      <w:r>
        <w:rPr>
          <w:rFonts w:hint="default"/>
          <w:sz w:val="21"/>
          <w:szCs w:val="21"/>
          <w:lang w:val="en-US" w:eastAsia="zh-CN"/>
        </w:rPr>
        <w:t>　　</w:t>
      </w:r>
      <w:r>
        <w:rPr>
          <w:rFonts w:hint="eastAsia"/>
          <w:sz w:val="21"/>
          <w:szCs w:val="21"/>
          <w:lang w:val="en-US" w:eastAsia="zh-CN"/>
        </w:rPr>
        <w:t>（三）大赛技术支持</w:t>
      </w:r>
      <w:r>
        <w:rPr>
          <w:rFonts w:hint="eastAsia"/>
          <w:sz w:val="21"/>
          <w:szCs w:val="21"/>
          <w:lang w:val="en-US" w:eastAsia="zh-CN"/>
        </w:rPr>
        <w:br w:type="textWrapping"/>
      </w:r>
      <w:r>
        <w:rPr>
          <w:rFonts w:hint="default"/>
          <w:sz w:val="21"/>
          <w:szCs w:val="21"/>
          <w:lang w:val="en-US" w:eastAsia="zh-CN"/>
        </w:rPr>
        <w:t>　　</w:t>
      </w:r>
      <w:r>
        <w:rPr>
          <w:rFonts w:hint="eastAsia"/>
          <w:sz w:val="21"/>
          <w:szCs w:val="21"/>
          <w:lang w:val="en-US" w:eastAsia="zh-CN"/>
        </w:rPr>
        <w:t>联系人：宁方强  </w:t>
      </w:r>
      <w:r>
        <w:rPr>
          <w:rFonts w:hint="default"/>
          <w:sz w:val="21"/>
          <w:szCs w:val="21"/>
          <w:lang w:val="en-US" w:eastAsia="zh-CN"/>
        </w:rPr>
        <w:t>　　</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电 话：</w:t>
      </w:r>
      <w:r>
        <w:rPr>
          <w:rFonts w:hint="default"/>
          <w:sz w:val="21"/>
          <w:szCs w:val="21"/>
          <w:lang w:val="en-US" w:eastAsia="zh-CN"/>
        </w:rPr>
        <w:t>010</w:t>
      </w:r>
      <w:r>
        <w:rPr>
          <w:rFonts w:hint="eastAsia"/>
          <w:sz w:val="21"/>
          <w:szCs w:val="21"/>
          <w:lang w:val="en-US" w:eastAsia="zh-CN"/>
        </w:rPr>
        <w:t>-</w:t>
      </w:r>
      <w:r>
        <w:rPr>
          <w:rFonts w:hint="default"/>
          <w:sz w:val="21"/>
          <w:szCs w:val="21"/>
          <w:lang w:val="en-US" w:eastAsia="zh-CN"/>
        </w:rPr>
        <w:t>68200382</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电子邮箱：cnmaker@dreamdt.cn</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附件：</w:t>
      </w:r>
      <w:r>
        <w:rPr>
          <w:rFonts w:hint="default"/>
          <w:sz w:val="21"/>
          <w:szCs w:val="21"/>
          <w:lang w:val="en-US" w:eastAsia="zh-CN"/>
        </w:rPr>
        <w:fldChar w:fldCharType="begin"/>
      </w:r>
      <w:r>
        <w:rPr>
          <w:rFonts w:hint="default"/>
          <w:sz w:val="21"/>
          <w:szCs w:val="21"/>
          <w:lang w:val="en-US" w:eastAsia="zh-CN"/>
        </w:rPr>
        <w:instrText xml:space="preserve"> HYPERLINK "http://www.miit.gov.cn/n1146285/n1146352/n3054355/n3057527/n3057529/c6676125/part/6676140.wps" </w:instrText>
      </w:r>
      <w:r>
        <w:rPr>
          <w:rFonts w:hint="default"/>
          <w:sz w:val="21"/>
          <w:szCs w:val="21"/>
          <w:lang w:val="en-US" w:eastAsia="zh-CN"/>
        </w:rPr>
        <w:fldChar w:fldCharType="separate"/>
      </w:r>
      <w:r>
        <w:rPr>
          <w:rFonts w:hint="default"/>
          <w:sz w:val="21"/>
          <w:szCs w:val="21"/>
          <w:lang w:val="en-US" w:eastAsia="zh-CN"/>
        </w:rPr>
        <w:t>1.2019年“创客中国”中小企业创新创业大赛组织方案</w:t>
      </w:r>
      <w:r>
        <w:rPr>
          <w:rFonts w:hint="default"/>
          <w:sz w:val="21"/>
          <w:szCs w:val="21"/>
          <w:lang w:val="en-US" w:eastAsia="zh-CN"/>
        </w:rPr>
        <w:fldChar w:fldCharType="end"/>
      </w:r>
      <w:r>
        <w:rPr>
          <w:rFonts w:hint="default"/>
          <w:sz w:val="21"/>
          <w:szCs w:val="21"/>
          <w:lang w:val="en-US" w:eastAsia="zh-CN"/>
        </w:rPr>
        <w:br w:type="textWrapping"/>
      </w:r>
      <w:r>
        <w:rPr>
          <w:rFonts w:hint="default"/>
          <w:sz w:val="21"/>
          <w:szCs w:val="21"/>
          <w:lang w:val="en-US" w:eastAsia="zh-CN"/>
        </w:rPr>
        <w:t>     </w:t>
      </w:r>
      <w:r>
        <w:rPr>
          <w:rFonts w:hint="default"/>
          <w:sz w:val="21"/>
          <w:szCs w:val="21"/>
          <w:lang w:val="en-US" w:eastAsia="zh-CN"/>
        </w:rPr>
        <w:fldChar w:fldCharType="begin"/>
      </w:r>
      <w:r>
        <w:rPr>
          <w:rFonts w:hint="default"/>
          <w:sz w:val="21"/>
          <w:szCs w:val="21"/>
          <w:lang w:val="en-US" w:eastAsia="zh-CN"/>
        </w:rPr>
        <w:instrText xml:space="preserve"> HYPERLINK "http://www.miit.gov.cn/n1146285/n1146352/n3054355/n3057527/n3057529/c6676125/part/6676141.wps" </w:instrText>
      </w:r>
      <w:r>
        <w:rPr>
          <w:rFonts w:hint="default"/>
          <w:sz w:val="21"/>
          <w:szCs w:val="21"/>
          <w:lang w:val="en-US" w:eastAsia="zh-CN"/>
        </w:rPr>
        <w:fldChar w:fldCharType="separate"/>
      </w:r>
      <w:r>
        <w:rPr>
          <w:rFonts w:hint="default"/>
          <w:sz w:val="21"/>
          <w:szCs w:val="21"/>
          <w:lang w:val="en-US" w:eastAsia="zh-CN"/>
        </w:rPr>
        <w:t>2.大赛注册报名流程（参赛报名和对接服务报名）</w:t>
      </w:r>
      <w:r>
        <w:rPr>
          <w:rFonts w:hint="default"/>
          <w:sz w:val="21"/>
          <w:szCs w:val="21"/>
          <w:lang w:val="en-US" w:eastAsia="zh-CN"/>
        </w:rPr>
        <w:fldChar w:fldCharType="end"/>
      </w:r>
      <w:r>
        <w:rPr>
          <w:rFonts w:hint="default"/>
          <w:sz w:val="21"/>
          <w:szCs w:val="21"/>
          <w:lang w:val="en-US" w:eastAsia="zh-CN"/>
        </w:rPr>
        <w:br w:type="textWrapping"/>
      </w:r>
      <w:r>
        <w:rPr>
          <w:rFonts w:hint="default"/>
          <w:sz w:val="21"/>
          <w:szCs w:val="21"/>
          <w:lang w:val="en-US" w:eastAsia="zh-CN"/>
        </w:rPr>
        <w:t>     </w:t>
      </w:r>
      <w:r>
        <w:rPr>
          <w:rFonts w:hint="default"/>
          <w:sz w:val="21"/>
          <w:szCs w:val="21"/>
          <w:lang w:val="en-US" w:eastAsia="zh-CN"/>
        </w:rPr>
        <w:fldChar w:fldCharType="begin"/>
      </w:r>
      <w:r>
        <w:rPr>
          <w:rFonts w:hint="default"/>
          <w:sz w:val="21"/>
          <w:szCs w:val="21"/>
          <w:lang w:val="en-US" w:eastAsia="zh-CN"/>
        </w:rPr>
        <w:instrText xml:space="preserve"> HYPERLINK "http://www.miit.gov.cn/n1146285/n1146352/n3054355/n3057527/n3057529/c6676125/part/6676142.wps" </w:instrText>
      </w:r>
      <w:r>
        <w:rPr>
          <w:rFonts w:hint="default"/>
          <w:sz w:val="21"/>
          <w:szCs w:val="21"/>
          <w:lang w:val="en-US" w:eastAsia="zh-CN"/>
        </w:rPr>
        <w:fldChar w:fldCharType="separate"/>
      </w:r>
      <w:r>
        <w:rPr>
          <w:rFonts w:hint="default"/>
          <w:sz w:val="21"/>
          <w:szCs w:val="21"/>
          <w:lang w:val="en-US" w:eastAsia="zh-CN"/>
        </w:rPr>
        <w:t>3.2019年“创客中国”中小企业创新创业大赛申报（备案）表</w:t>
      </w:r>
      <w:r>
        <w:rPr>
          <w:rFonts w:hint="default"/>
          <w:sz w:val="21"/>
          <w:szCs w:val="21"/>
          <w:lang w:val="en-US" w:eastAsia="zh-CN"/>
        </w:rPr>
        <w:fldChar w:fldCharType="end"/>
      </w:r>
      <w:r>
        <w:rPr>
          <w:rFonts w:hint="default"/>
          <w:sz w:val="21"/>
          <w:szCs w:val="21"/>
          <w:lang w:val="en-US" w:eastAsia="zh-CN"/>
        </w:rPr>
        <w:br w:type="textWrapping"/>
      </w:r>
    </w:p>
    <w:p>
      <w:pPr>
        <w:pStyle w:val="20"/>
        <w:spacing w:before="0" w:beforeAutospacing="0" w:after="0" w:afterAutospacing="0" w:line="360" w:lineRule="auto"/>
        <w:ind w:left="0" w:leftChars="0" w:firstLine="420" w:firstLineChars="200"/>
        <w:jc w:val="right"/>
        <w:rPr>
          <w:rFonts w:hint="eastAsia"/>
          <w:sz w:val="21"/>
          <w:szCs w:val="21"/>
          <w:lang w:val="en-US" w:eastAsia="zh-CN"/>
        </w:rPr>
      </w:pPr>
      <w:r>
        <w:rPr>
          <w:rFonts w:hint="eastAsia"/>
          <w:sz w:val="21"/>
          <w:szCs w:val="21"/>
          <w:lang w:val="en-US" w:eastAsia="zh-CN"/>
        </w:rPr>
        <w:t>工业和信息化部   财政部</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default"/>
          <w:sz w:val="21"/>
          <w:szCs w:val="21"/>
          <w:lang w:val="en-US" w:eastAsia="zh-CN"/>
        </w:rPr>
        <w:t>                             2019</w:t>
      </w:r>
      <w:r>
        <w:rPr>
          <w:rFonts w:hint="eastAsia"/>
          <w:sz w:val="21"/>
          <w:szCs w:val="21"/>
          <w:lang w:val="en-US" w:eastAsia="zh-CN"/>
        </w:rPr>
        <w:t>年</w:t>
      </w:r>
      <w:r>
        <w:rPr>
          <w:rFonts w:hint="default"/>
          <w:sz w:val="21"/>
          <w:szCs w:val="21"/>
          <w:lang w:val="en-US" w:eastAsia="zh-CN"/>
        </w:rPr>
        <w:t>3</w:t>
      </w:r>
      <w:r>
        <w:rPr>
          <w:rFonts w:hint="eastAsia"/>
          <w:sz w:val="21"/>
          <w:szCs w:val="21"/>
          <w:lang w:val="en-US" w:eastAsia="zh-CN"/>
        </w:rPr>
        <w:t>月</w:t>
      </w:r>
      <w:r>
        <w:rPr>
          <w:rFonts w:hint="default"/>
          <w:sz w:val="21"/>
          <w:szCs w:val="21"/>
          <w:lang w:val="en-US" w:eastAsia="zh-CN"/>
        </w:rPr>
        <w:t>7</w:t>
      </w:r>
      <w:r>
        <w:rPr>
          <w:rFonts w:hint="eastAsia"/>
          <w:sz w:val="21"/>
          <w:szCs w:val="21"/>
          <w:lang w:val="en-US" w:eastAsia="zh-CN"/>
        </w:rPr>
        <w:t>日</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p>
    <w:p>
      <w:pPr>
        <w:pStyle w:val="20"/>
        <w:spacing w:before="0" w:beforeAutospacing="0" w:after="0" w:afterAutospacing="0" w:line="360" w:lineRule="auto"/>
        <w:ind w:left="0" w:leftChars="0" w:firstLine="420" w:firstLineChars="200"/>
        <w:jc w:val="both"/>
        <w:rPr>
          <w:rFonts w:hint="default"/>
          <w:sz w:val="21"/>
          <w:szCs w:val="21"/>
          <w:lang w:val="en-US" w:eastAsia="zh-CN"/>
        </w:rPr>
      </w:pPr>
    </w:p>
    <w:p>
      <w:pPr>
        <w:pStyle w:val="20"/>
        <w:spacing w:before="0" w:beforeAutospacing="0" w:after="0" w:afterAutospacing="0" w:line="360" w:lineRule="auto"/>
        <w:ind w:left="0" w:leftChars="0" w:firstLine="420" w:firstLineChars="200"/>
        <w:jc w:val="both"/>
        <w:rPr>
          <w:rFonts w:hint="default"/>
          <w:sz w:val="21"/>
          <w:szCs w:val="21"/>
          <w:lang w:val="en-US" w:eastAsia="zh-CN"/>
        </w:rPr>
      </w:pPr>
    </w:p>
    <w:p>
      <w:pPr>
        <w:keepNext w:val="0"/>
        <w:keepLines w:val="0"/>
        <w:widowControl/>
        <w:suppressLineNumbers w:val="0"/>
        <w:spacing w:line="432" w:lineRule="auto"/>
        <w:jc w:val="center"/>
        <w:rPr>
          <w:rFonts w:hint="eastAsia" w:ascii="宋体" w:hAnsi="宋体" w:eastAsia="宋体" w:cs="Times New Roman"/>
          <w:b/>
          <w:bCs/>
          <w:kern w:val="2"/>
          <w:sz w:val="30"/>
          <w:szCs w:val="30"/>
          <w:lang w:val="en-US" w:eastAsia="zh-CN" w:bidi="ar-SA"/>
        </w:rPr>
      </w:pPr>
      <w:r>
        <w:rPr>
          <w:rFonts w:hint="eastAsia" w:ascii="宋体" w:hAnsi="宋体" w:eastAsia="宋体" w:cs="Times New Roman"/>
          <w:b/>
          <w:bCs/>
          <w:kern w:val="2"/>
          <w:sz w:val="30"/>
          <w:szCs w:val="30"/>
          <w:lang w:val="en-US" w:eastAsia="zh-CN" w:bidi="ar-SA"/>
        </w:rPr>
        <w:t xml:space="preserve">关于推进政府和社会资本合作规范发展的实施意见 </w:t>
      </w:r>
    </w:p>
    <w:p>
      <w:pPr>
        <w:keepNext w:val="0"/>
        <w:keepLines w:val="0"/>
        <w:widowControl/>
        <w:suppressLineNumbers w:val="0"/>
        <w:spacing w:line="432" w:lineRule="auto"/>
        <w:jc w:val="center"/>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财金〔2019〕10号</w:t>
      </w:r>
    </w:p>
    <w:p>
      <w:pPr>
        <w:keepNext w:val="0"/>
        <w:keepLines w:val="0"/>
        <w:widowControl/>
        <w:suppressLineNumbers w:val="0"/>
        <w:spacing w:line="432" w:lineRule="auto"/>
        <w:jc w:val="center"/>
        <w:rPr>
          <w:rFonts w:hint="eastAsia" w:ascii="宋体" w:hAnsi="宋体" w:eastAsia="宋体" w:cs="Times New Roman"/>
          <w:b/>
          <w:bCs/>
          <w:kern w:val="2"/>
          <w:sz w:val="24"/>
          <w:szCs w:val="24"/>
          <w:lang w:val="en-US" w:eastAsia="zh-CN" w:bidi="ar-SA"/>
        </w:rPr>
      </w:pPr>
    </w:p>
    <w:p>
      <w:pPr>
        <w:pStyle w:val="20"/>
        <w:spacing w:before="0" w:beforeAutospacing="0" w:after="0" w:afterAutospacing="0" w:line="360" w:lineRule="auto"/>
        <w:jc w:val="both"/>
        <w:rPr>
          <w:rFonts w:hint="eastAsia"/>
          <w:sz w:val="21"/>
          <w:szCs w:val="21"/>
          <w:lang w:val="en-US" w:eastAsia="zh-CN"/>
        </w:rPr>
      </w:pPr>
      <w:r>
        <w:rPr>
          <w:rFonts w:hint="eastAsia"/>
          <w:sz w:val="21"/>
          <w:szCs w:val="21"/>
          <w:lang w:val="en-US" w:eastAsia="zh-CN"/>
        </w:rPr>
        <w:t>各省、自治区、直辖市、计划单列市财政厅（局），新疆生产建设兵团财政局，财政部驻各省、自治区、直辖市、计划单列市财政监察专员办事处：</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在公共服务领域推广运用政府和社会资本合作（PPP）模式，引入社会力量参与公共服务供给，提升供给质量和效率，是党中央、国务院作出的一项重大决策部署。为贯彻落实中央经济工作会议和全国财政工作会议精神，有效防控地方政府隐性债务风险，充分发挥PPP模式积极作用，落实好“六稳”工作要求，补齐基础设施短板，推动经济高质量发展，现提出如下意见：</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一、牢牢把握推动PPP规范发展的总体要求</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近年来，各级财政部门会同有关方面大力推进PPP工作，在稳增长、促改革、惠民生方面发挥了积极作用，但也存在超出自身财力、固化政府支出责任、泛化运用范围等问题。各级财政部门要进一步提高认识，遵循“规范运行、严格监管、公开透明、诚信履约”的原则，切实防控地方政府隐性债务风险，坚决打好防范化解重大风险攻坚战，扎实推进PPP规范发展。</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（一）规范运行。健全制度体系，明确“正负面”清单，明确全生命周期管理要求，严格项目入库，完善“能进能出”动态调整机制，落实项目绩效激励考核。</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（二）严格监管。坚持必要、可承受的财政投入原则，审慎科学决策，健全财政支出责任监测和风险预警机制，防止政府支出责任过多、过重加大财政支出压力，切实防控假借PPP名义增加地方政府隐性债务。</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（三）公开透明。公平、公正、公开择优采购社会资本方。用好全国PPP综合信息平台，充分披露PPP项目全生命周期信息，保障公众知情权，对参与各方形成有效监督和约束。</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四）诚信履约。加强地方政府诚信建设，增强契约理念，充分体现平等合作原则，保障社会资本合法权益。依法依规将符合条件的PPP项目财政支出责任纳入预算管理，按照合同约定及时履约，增强社会资本长期投资信心。</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二、规范推进PPP项目实施</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（一）规范的PPP项目应当符合以下条件：</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1. 属于公共服务领域的公益性项目，合作期限原则上在10年以上，按规定履行物有所值评价、财政承受能力论证程序；</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2. 社会资本负责项目投资、建设、运营并承担相应风险，政府承担政策、法律等风险；</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3. 建立完全与项目产出绩效相挂钩的付费机制，不得通过降低考核标准等方式，提前锁定、固化政府支出责任；</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4. 项目资本金符合国家规定比例，项目公司股东以自有资金按时足额缴纳资本金；</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5. 政府方签约主体应为县级及县级以上人民政府或其授权的机关或事业单位；</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6. 按规定纳入全国PPP综合信息平台项目库，及时充分披露项目信息，主动接受社会监督。</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（二）在符合上述条件的同时，新上政府付费项目原则上还应符合以下审慎要求：</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1.财政支出责任占比超过5%的地区，不得新上政府付费项目。按照“实质重于形式”原则，污水、垃圾处理等依照收支两条线管理、表现为政府付费形式的PPP项目除外；</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2.采用公开招标、邀请招标、竞争性磋商、竞争性谈判等竞争性方式选择社会资本方；</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3.严格控制项目投资、建设、运营成本，加强跟踪审计。</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对于规避上述限制条件，将新上政府付费项目打捆、包装为少量使用者付费项目，项目内容无实质关联、使用者付费比例低于10%的，不予入库。</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三）强化财政支出责任监管。确保每一年度本级全部PPP项目从一般公共预算列支的财政支出责任，不超过当年本级一般公共预算支出的10%。新签约项目不得从政府性基金预算、国有资本经营预算安排PPP项目运营补贴支出。建立PPP项目支出责任预警机制，对财政支出责任占比超过7%的地区进行风险提示，对超过10%的地区严禁新项目入库。</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三、加强项目规范管理</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各级财政部门要将规范运作放在首位，严格按照要求实施规范的PPP项目，不得出现以下行为：</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一）存在政府方或政府方出资代表向社会资本回购投资本金、承诺固定回报或保障最低收益的。通过签订阴阳合同，或由政府方或政府方出资代表为项目融资提供各种形式的担保、还款承诺等方式，由政府实际兜底项目投资建设运营风险的。</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二）本级政府所属的各类融资平台公司、融资平台公司参股并能对其经营活动构成实质性影响的国有企业作为社会资本参与本级PPP项目的。社会资本方实际只承担项目建设、不承担项目运营责任，或政府支出事项与项目产出绩效脱钩的。</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（三）未经法定程序选择社会资本方的。未按规定通过物有所值评价、财政承受能力论证或规避财政承受能力10%红线，自行以PPP名义实施的。</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（四）以债务性资金充当项目资本金，虚假出资或出资不实的。</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（五）未按规定及时充分披露项目信息或披露虚假项目信息，严重影响行使公众知情权和社会监督权的。</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对于存在本条（一）项情形，已入库项目应当予以清退，项目形成的财政支出责任，应当认定为地方政府隐性债务，依法依规提请有关部门对相关单位及个人予以严肃问责。</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对于存在本条（二）至（五）项情形的，应在限期内进行整改。无法整改或逾期整改不到位的，已入库项目应当予以清退，涉及增加地方政府隐性债务的，依法依规提请有关部门予以问责和妥善处置。</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四、营造规范发展的良好环境</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各级财政部门要会同有关部门，多措并举，加强规范管理和分类指导，对重点领域、重点项目加大政策支持力度。</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一）鼓励民资和外资参与。加大对民营企业、外资企业参与PPP项目的支持力度，向民营企业推介政府信用良好、项目收益稳定的优质项目，并在同等条件下对民营企业参与项目给予优先支持。中央财政公共服务领域相关专项转移支付资金优先支持符合条件的民营企业参与的PPP项目。研究完善中国PPP基金绩效考核办法，将投资民营企业参与项目作为重要考核指标，引导中国PPP基金加大支持力度。各地在开展PPP项目时，不得对外资企业、中资境外分支机构参与设置歧视性条款或附加条件。提倡优质优价采购，应当根据采购项目需求特点，合理选择采购方式，进一步加强采购需求和履约验收管理，提高采购质量。</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二）加大融资支持。结合自身财力状况，因地制宜采取注入资本金、运营补贴等方式支持规范的PPP项目。引导保险资金、中国PPP基金加大项目股权投资力度，拓宽项目资本金来源。鼓励通过股权转让、资产交易、资产证券化等方式，盘活项目存量资产，丰富社会资本进入和退出渠道。</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三）聚焦重点领域。优先支持基础设施补短板以及健康、养老、文化、体育、旅游等基本公共服务均等化领域有一定收益的公益性项目。加快实施符合经济社会发展需要、决策程序完备、回报机制清晰、融资结构合理的项目。</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四）保障合理支出。符合条件的PPP项目形成的政府支出事项，以公众享受符合约定条件的公共服务为支付依据，是政府为公众享受公共服务提供运营补贴形成的经常性支出。各地要依法依规将规范的PPP项目财政支出纳入预算管理，重诺守约，稳定市场预期。</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五）加强信息披露。依托全国PPP综合信息平台，对PPP项目信息进行全流程公开披露、汇总统计和分析监测，完善项目库“能进能出”的动态调整机制，不以入库为项目合规“背书”，不以入库作为商业银行贷款条件。</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六）加强分类指导。对于在建项目，督促各方严格履约，保障出资到位，推动项目按期完工，避免出现“半拉子”项目。对于尚未开工的项目，督促各方严格按照要求加强合同条款审核，规范融资安排。对于进入采购阶段的项目，加强宣传推介和信息披露，吸引各类市场主体特别是民营企业和外资企业平等参与。同时，加强重大项目储备，扎实做好项目前期论证，推动形成远近结合、梯次接续的项目开发格局。</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七）强化PPP咨询机构库和专家库管理。咨询机构和专家要发挥专业作用，遵守职业操守，依法合规提供PPP项目咨询服务。对于包装不规范PPP项目增加隐性债务风险、出具咨询意见违反相关政策规定、收费标准偏离市场合理水平、对PPP项目实施造成消极影响和严重后果的咨询机构和专家，要按照规定严肃追究责任。</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五、协同配合抓好落实</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各级财政部门要提高站位，主动作为，加快推动建立协同配合、保障有力、措施到位的工作机制。</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（一）加强部门协作，强化项目前期识别、论证和入库等环节的沟通协调与信息共享，扎实做好项目前期准备工作，夯实项目实施基础，推进科学决策。</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（二）强化跟踪监测。加强对项目全生命周期的跟踪指导和监督检查，建立健全政策落实和项目实施督查机制。加大信息公开力度，主动接受审计监督和社会监督，推动项目规范有序实施。</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（三）鼓励地方和部门因地制宜创新工作机制、加大政策扶持力度，加强经验总结和案例推广，工作推进中形成的经验做法和发现的重大问题，及时向财政部报告。</w:t>
      </w:r>
    </w:p>
    <w:p>
      <w:pPr>
        <w:pStyle w:val="20"/>
        <w:spacing w:before="0" w:beforeAutospacing="0" w:after="0" w:afterAutospacing="0" w:line="360" w:lineRule="auto"/>
        <w:ind w:left="0" w:leftChars="0" w:firstLine="420" w:firstLineChars="200"/>
        <w:jc w:val="right"/>
        <w:rPr>
          <w:rFonts w:hint="eastAsia"/>
          <w:sz w:val="21"/>
          <w:szCs w:val="21"/>
          <w:lang w:val="en-US" w:eastAsia="zh-CN"/>
        </w:rPr>
      </w:pPr>
      <w:r>
        <w:rPr>
          <w:rFonts w:hint="eastAsia"/>
          <w:sz w:val="21"/>
          <w:szCs w:val="21"/>
          <w:lang w:val="en-US" w:eastAsia="zh-CN"/>
        </w:rPr>
        <w:t>　　财  政  部</w:t>
      </w:r>
    </w:p>
    <w:p>
      <w:pPr>
        <w:pStyle w:val="20"/>
        <w:spacing w:before="0" w:beforeAutospacing="0" w:after="0" w:afterAutospacing="0" w:line="360" w:lineRule="auto"/>
        <w:ind w:left="0" w:leftChars="0" w:firstLine="420" w:firstLineChars="200"/>
        <w:jc w:val="right"/>
        <w:rPr>
          <w:rFonts w:hint="eastAsia"/>
          <w:sz w:val="21"/>
          <w:szCs w:val="21"/>
          <w:lang w:val="en-US" w:eastAsia="zh-CN"/>
        </w:rPr>
      </w:pPr>
      <w:r>
        <w:rPr>
          <w:rFonts w:hint="eastAsia"/>
          <w:sz w:val="21"/>
          <w:szCs w:val="21"/>
          <w:lang w:val="en-US" w:eastAsia="zh-CN"/>
        </w:rPr>
        <w:t>　　2019年3月7日</w:t>
      </w:r>
    </w:p>
    <w:p>
      <w:pPr>
        <w:keepNext w:val="0"/>
        <w:keepLines w:val="0"/>
        <w:widowControl/>
        <w:suppressLineNumbers w:val="0"/>
        <w:spacing w:line="432" w:lineRule="auto"/>
        <w:jc w:val="left"/>
        <w:rPr>
          <w:rFonts w:hint="eastAsia" w:ascii="宋体" w:hAnsi="宋体" w:eastAsia="宋体" w:cs="宋体"/>
          <w:vanish/>
          <w:sz w:val="19"/>
          <w:szCs w:val="19"/>
        </w:rPr>
      </w:pPr>
      <w:r>
        <w:rPr>
          <w:rFonts w:hint="eastAsia" w:ascii="宋体" w:hAnsi="宋体" w:eastAsia="宋体" w:cs="宋体"/>
          <w:vanish/>
          <w:kern w:val="0"/>
          <w:sz w:val="19"/>
          <w:szCs w:val="19"/>
          <w:lang w:val="en-US" w:eastAsia="zh-CN" w:bidi="ar"/>
        </w:rPr>
        <w:t xml:space="preserve">  </w:t>
      </w:r>
    </w:p>
    <w:p>
      <w:pPr>
        <w:keepNext w:val="0"/>
        <w:keepLines w:val="0"/>
        <w:widowControl/>
        <w:suppressLineNumbers w:val="0"/>
        <w:tabs>
          <w:tab w:val="left" w:pos="807"/>
        </w:tabs>
        <w:spacing w:line="432" w:lineRule="auto"/>
        <w:jc w:val="left"/>
        <w:rPr>
          <w:rFonts w:hint="eastAsia" w:ascii="宋体" w:hAnsi="宋体" w:eastAsia="宋体" w:cs="宋体"/>
          <w:vanish/>
          <w:sz w:val="19"/>
          <w:szCs w:val="19"/>
        </w:rPr>
      </w:pPr>
      <w:r>
        <w:rPr>
          <w:rFonts w:hint="eastAsia" w:ascii="宋体" w:hAnsi="宋体" w:eastAsia="宋体" w:cs="宋体"/>
          <w:vanish/>
          <w:sz w:val="19"/>
          <w:szCs w:val="19"/>
        </w:rPr>
        <w:t>附件下载:</w:t>
      </w:r>
      <w:r>
        <w:rPr>
          <w:vanish/>
        </w:rPr>
        <w:tab/>
      </w:r>
      <w:r>
        <w:rPr>
          <w:rFonts w:hint="eastAsia" w:ascii="宋体" w:hAnsi="宋体" w:eastAsia="宋体" w:cs="宋体"/>
          <w:vanish/>
          <w:kern w:val="0"/>
          <w:sz w:val="19"/>
          <w:szCs w:val="19"/>
          <w:lang w:val="en-US" w:eastAsia="zh-CN" w:bidi="ar"/>
        </w:rPr>
        <w:t xml:space="preserve">  </w:t>
      </w:r>
    </w:p>
    <w:p>
      <w:pPr>
        <w:jc w:val="center"/>
        <w:rPr>
          <w:rFonts w:hint="eastAsia" w:ascii="宋体" w:hAnsi="宋体" w:eastAsia="宋体" w:cs="宋体"/>
          <w:sz w:val="14"/>
          <w:szCs w:val="14"/>
        </w:rPr>
      </w:pPr>
    </w:p>
    <w:p>
      <w:pPr>
        <w:spacing w:line="432" w:lineRule="auto"/>
        <w:jc w:val="center"/>
        <w:rPr>
          <w:rFonts w:hint="eastAsia" w:ascii="宋体" w:hAnsi="宋体" w:eastAsia="宋体" w:cs="宋体"/>
          <w:sz w:val="14"/>
          <w:szCs w:val="14"/>
        </w:rPr>
      </w:pPr>
    </w:p>
    <w:p>
      <w:pPr>
        <w:pStyle w:val="20"/>
        <w:spacing w:before="0" w:beforeAutospacing="0" w:after="0" w:afterAutospacing="0" w:line="360" w:lineRule="auto"/>
        <w:ind w:left="0" w:leftChars="0" w:firstLine="420" w:firstLineChars="200"/>
        <w:jc w:val="both"/>
        <w:rPr>
          <w:rFonts w:hint="default"/>
          <w:sz w:val="21"/>
          <w:szCs w:val="21"/>
          <w:lang w:val="en-US" w:eastAsia="zh-CN"/>
        </w:rPr>
      </w:pPr>
    </w:p>
    <w:p>
      <w:pPr>
        <w:keepNext w:val="0"/>
        <w:keepLines w:val="0"/>
        <w:widowControl/>
        <w:suppressLineNumbers w:val="0"/>
        <w:spacing w:line="432" w:lineRule="auto"/>
        <w:jc w:val="center"/>
        <w:rPr>
          <w:rFonts w:hint="eastAsia" w:ascii="宋体" w:hAnsi="宋体" w:eastAsia="宋体" w:cs="Times New Roman"/>
          <w:b/>
          <w:bCs/>
          <w:kern w:val="2"/>
          <w:sz w:val="30"/>
          <w:szCs w:val="30"/>
          <w:lang w:val="en-US" w:eastAsia="zh-CN" w:bidi="ar-SA"/>
        </w:rPr>
      </w:pPr>
      <w:r>
        <w:rPr>
          <w:rFonts w:hint="eastAsia" w:ascii="宋体" w:hAnsi="宋体" w:eastAsia="宋体" w:cs="Times New Roman"/>
          <w:b/>
          <w:bCs/>
          <w:kern w:val="2"/>
          <w:sz w:val="30"/>
          <w:szCs w:val="30"/>
          <w:lang w:val="en-US" w:eastAsia="zh-CN" w:bidi="ar-SA"/>
        </w:rPr>
        <w:t>中国银保监会办公厅关于2019年</w:t>
      </w:r>
    </w:p>
    <w:p>
      <w:pPr>
        <w:keepNext w:val="0"/>
        <w:keepLines w:val="0"/>
        <w:widowControl/>
        <w:suppressLineNumbers w:val="0"/>
        <w:spacing w:line="432" w:lineRule="auto"/>
        <w:jc w:val="center"/>
        <w:rPr>
          <w:rFonts w:hint="eastAsia" w:ascii="宋体" w:hAnsi="宋体" w:eastAsia="宋体" w:cs="Times New Roman"/>
          <w:b/>
          <w:bCs/>
          <w:kern w:val="2"/>
          <w:sz w:val="30"/>
          <w:szCs w:val="30"/>
          <w:lang w:val="en-US" w:eastAsia="zh-CN" w:bidi="ar-SA"/>
        </w:rPr>
      </w:pPr>
      <w:r>
        <w:rPr>
          <w:rFonts w:hint="eastAsia" w:ascii="宋体" w:hAnsi="宋体" w:eastAsia="宋体" w:cs="Times New Roman"/>
          <w:b/>
          <w:bCs/>
          <w:kern w:val="2"/>
          <w:sz w:val="30"/>
          <w:szCs w:val="30"/>
          <w:lang w:val="en-US" w:eastAsia="zh-CN" w:bidi="ar-SA"/>
        </w:rPr>
        <w:t>进一步提升小微企业金融服务质效的通知</w:t>
      </w:r>
    </w:p>
    <w:p>
      <w:pPr>
        <w:keepNext w:val="0"/>
        <w:keepLines w:val="0"/>
        <w:widowControl/>
        <w:suppressLineNumbers w:val="0"/>
        <w:spacing w:line="432" w:lineRule="auto"/>
        <w:jc w:val="center"/>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银保监办发〔2019〕48号</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p>
    <w:p>
      <w:pPr>
        <w:pStyle w:val="20"/>
        <w:spacing w:before="0" w:beforeAutospacing="0" w:after="0" w:afterAutospacing="0" w:line="360" w:lineRule="auto"/>
        <w:jc w:val="both"/>
        <w:rPr>
          <w:rFonts w:hint="default"/>
          <w:sz w:val="21"/>
          <w:szCs w:val="21"/>
          <w:lang w:val="en-US" w:eastAsia="zh-CN"/>
        </w:rPr>
      </w:pPr>
      <w:r>
        <w:rPr>
          <w:rFonts w:hint="default"/>
          <w:sz w:val="21"/>
          <w:szCs w:val="21"/>
          <w:lang w:val="en-US" w:eastAsia="zh-CN"/>
        </w:rPr>
        <w:t>各银保监局，各政策性银行、大型银行、股份制银行，邮储银行，外资银行，各金融资产管理公司，各保险集团（控股）公司，各中资保险公司：</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default"/>
          <w:sz w:val="21"/>
          <w:szCs w:val="21"/>
          <w:lang w:val="en-US" w:eastAsia="zh-CN"/>
        </w:rPr>
        <w:t>为深入贯彻习近平总书记在民营企业座谈会上的重要讲话精神，落实中央经济工作会议要求，进一步缓解小微企业融资难融资贵问题，持续提升银行保险机构小微企业金融服务质效，现就2019年有关工作通知如下：</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一、优化“两增两控”总体目标,推动小微企业贷款继续增量扩面</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default"/>
          <w:sz w:val="21"/>
          <w:szCs w:val="21"/>
          <w:lang w:val="en-US" w:eastAsia="zh-CN"/>
        </w:rPr>
        <w:t>银行业金融机构要始终保持战略定力，加强对普惠金融重点领域的支持，聚焦小微企业中的相对薄弱群体和有效信贷需求，努力完成“两增两控”目标，同时继续保持对全口径小微企业贷款的统计监测，进一步提升银行业信贷占小微企业融资总量的比重，带动小微企业融资成本整体下降：</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default"/>
          <w:sz w:val="21"/>
          <w:szCs w:val="21"/>
          <w:lang w:val="en-US" w:eastAsia="zh-CN"/>
        </w:rPr>
        <w:t>（一）强化对“两增”目标的考核。全年努力完成“单户授信总额1000万元及以下小微企业贷款（以下简称“普惠型小微企业贷款”）较年初增速不低于各项贷款较年初增速，有贷款余额的户数不低于年初水平”。各银行业金融机构要结合经济走势和小微企业生产经营周期，统筹安排2019年各月度、季度小微企业贷款投放，兼顾全年增速和月平均增速，避免各月度数据出现较大波动。</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default"/>
          <w:sz w:val="21"/>
          <w:szCs w:val="21"/>
          <w:lang w:val="en-US" w:eastAsia="zh-CN"/>
        </w:rPr>
        <w:t>（二）加强对“两控”目标的监测和指导。合理控制小微企业贷款资产质量水平和贷款综合成本。力争将普惠型小微企业贷款不良率控制在不高于各项贷款不良率3个百分点以内。巩固2018年银行业小微企业贷款减费让利成效，继续将普惠型小微企业贷款利率保持在合理水平。</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二、分类实施考核，引导机构差异化竞争</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default"/>
          <w:sz w:val="21"/>
          <w:szCs w:val="21"/>
          <w:lang w:val="en-US" w:eastAsia="zh-CN"/>
        </w:rPr>
        <w:t>（一）大型银行、股份制银行和邮储银行（以下简称“大中型商业银行”）</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default"/>
          <w:sz w:val="21"/>
          <w:szCs w:val="21"/>
          <w:lang w:val="en-US" w:eastAsia="zh-CN"/>
        </w:rPr>
        <w:t>1.考核指标：努力完成“普惠型小微企业贷款较年初增速不低于各项贷款较年初增速，有贷款余额的户数不低于年初水平”。</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default"/>
          <w:sz w:val="21"/>
          <w:szCs w:val="21"/>
          <w:lang w:val="en-US" w:eastAsia="zh-CN"/>
        </w:rPr>
        <w:t>2.差异化考核：（1）5家大型银行要充分发挥“头雁”效应，2019年力争总体实现“普惠型小微企业贷款余额较年初增长30%以上”。（2）对2018年完成“两增”考核目标（或普惠型小微企业信贷计划）的大中型商业银行，允许其在考核时将当年普惠型小微企业不良贷款核销金额还原计算。（3）对2018年完成“两增”考核目标（或普惠型小微企业信贷计划）以及利率指导目标、普惠型小微企业贷款余额占其各项贷款余额超过10%的大中型商业银行，经报银保监会同意，可适度放宽考核要求，确保至少完成“普惠型小微企业贷款余额不低于年初水平，有贷款余额的户数不低于年初水平”。</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default"/>
          <w:sz w:val="21"/>
          <w:szCs w:val="21"/>
          <w:lang w:val="en-US" w:eastAsia="zh-CN"/>
        </w:rPr>
        <w:t>（二）地方性法人机构</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default"/>
          <w:sz w:val="21"/>
          <w:szCs w:val="21"/>
          <w:lang w:val="en-US" w:eastAsia="zh-CN"/>
        </w:rPr>
        <w:t>1.考核对象：城市商业银行、民营银行、农村商业银行、农村信用社、农村合作银行、村镇银行。</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default"/>
          <w:sz w:val="21"/>
          <w:szCs w:val="21"/>
          <w:lang w:val="en-US" w:eastAsia="zh-CN"/>
        </w:rPr>
        <w:t>2.考核指标：各银保监局辖内法人机构努力总体完成“普惠型小微企业贷款较年初增速不低于各项贷款较年初增速，有贷款余额的户数不低于年初水平”。</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default"/>
          <w:sz w:val="21"/>
          <w:szCs w:val="21"/>
          <w:lang w:val="en-US" w:eastAsia="zh-CN"/>
        </w:rPr>
        <w:t>3.差异化考核：在辖内法人机构信贷计划总体完成“两增”考核目标的前提下，可对部分机构实行差异化考核，相关标准或条件由各银保监局自主制定。（1）对辖内2018年完成“两增”考核目标（或普惠型小微企业信贷计划）的法人机构，允许其在考核时将当年普惠型小微企业不良贷款核销金额还原计算。（2）对辖内2018年完成“两增”考核目标（或普惠型小微企业信贷计划）以及利率指导目标、普惠型小微企业贷款余额占其各项贷款余额超过一定比例的法人机构，经报属地银保监局同意，可适度放宽考核要求，确保至少完成“普惠型小微企业贷款余额不低于年初水平，有贷款余额的户数不低于年初水平”。（3）对辖内涉农贷款占比较高的法人机构，可选择将其“两增”考核计算口径扩大为“单户授信总额1000万元以下（含）小微企业贷款和普惠型其它组织及个人经营性（非农户）贷款、单户授信总额500万元以下（含）的普惠型农户经营性贷款”。（4）对部分总体风险水平偏高、但正在积极进行风险化解处置的法人机构，普惠型小微企业贷款不良容忍度可在“不高于各项贷款不良率3个百分点”的基础上适当放宽。</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default"/>
          <w:sz w:val="21"/>
          <w:szCs w:val="21"/>
          <w:lang w:val="en-US" w:eastAsia="zh-CN"/>
        </w:rPr>
        <w:t>（三）开发银行、政策性银行、外资银行和非银行金融机构</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default"/>
          <w:sz w:val="21"/>
          <w:szCs w:val="21"/>
          <w:lang w:val="en-US" w:eastAsia="zh-CN"/>
        </w:rPr>
        <w:t>1.不作指标考核，保持日常监测、通报。主要监测普惠型小微企业贷款余额、户数。</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default"/>
          <w:sz w:val="21"/>
          <w:szCs w:val="21"/>
          <w:lang w:val="en-US" w:eastAsia="zh-CN"/>
        </w:rPr>
        <w:t>2．相关要求：鼓励开发银行及政策性银行结合机构和业务特点,以转贷形式向银行业金融机构批发资金,专门用于投放小微企业贷款。转贷双方均应实行单独的台账管理，统计贷款投向明细，避免重复计算；加强对资金用途的跟踪监测，确保资金全部用于支持小微企业。</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三、单列信贷计划，强化执行力度</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default"/>
          <w:sz w:val="21"/>
          <w:szCs w:val="21"/>
          <w:lang w:val="en-US" w:eastAsia="zh-CN"/>
        </w:rPr>
        <w:t>（一）单列信贷计划。各银行业金融机构年初要以完成“两增”目标为导向，在客观预估当年本行各项贷款增速的基础上，单独制定普惠型小微企业信贷计划，并分解至各一级分行。信贷计划需经本行主要负责人签字认可，执行过程中不得挤占、挪用。</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default"/>
          <w:sz w:val="21"/>
          <w:szCs w:val="21"/>
          <w:lang w:val="en-US" w:eastAsia="zh-CN"/>
        </w:rPr>
        <w:t>（二）不良核销还原考核申请。符合不良贷款核销还原标准的银行业金融机构需在报送2019年信贷计划时向监管部门提交申请。其中，大中型商业银行由银保监会普惠金融部审核，地方性法人机构由各银保监局审核。</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default"/>
          <w:sz w:val="21"/>
          <w:szCs w:val="21"/>
          <w:lang w:val="en-US" w:eastAsia="zh-CN"/>
        </w:rPr>
        <w:t>（三）买入转让信贷资产额度纳入“两增”考核范畴。根据《关于进一步规范银行业金融机构信贷资产转让业务的通知》（银监发〔2010〕102号）相关规定，当信贷资产转让业务的转出方在资产负债表内终止确认该项信贷资产时，转入方应将转入的信贷资产进一步细分，将其中的普惠型小微企业贷款额度填入1104系统S71报表中的相应科目（历史数据不追溯调整），纳入“两增”考核范畴。</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四、巩固银行业小微企业贷款减费让利成效，带动降低小微企业综合融资成本</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default"/>
          <w:sz w:val="21"/>
          <w:szCs w:val="21"/>
          <w:lang w:val="en-US" w:eastAsia="zh-CN"/>
        </w:rPr>
        <w:t>（一）继续保持小微企业贷款利率定价合理水平。各商业银行要在保持“量”“价”平衡的基础上，按照商业可持续、“保本微利”的原则，巩固普惠型小微企业贷款利率指导工作成效，未完成2018年利率指导目标的要进一步加大落实力度，确保2019年普惠型小微企业贷款利率保持在合理水平。</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default"/>
          <w:sz w:val="21"/>
          <w:szCs w:val="21"/>
          <w:lang w:val="en-US" w:eastAsia="zh-CN"/>
        </w:rPr>
        <w:t>（二）建立差异化的小微企业利率定价机制。各商业银行要综合考虑资金成本、运营成本、服务模式以及担保方式等因素，实施差别化的利率定价。普惠型小微企业贷款利率明显高于同类机构同类产品平均水平的银行，要进一步加大贷款利率压降力度。使用政策性银行转贷资金、人民银行支小再贷款资金以及由政府性融资担保公司提供担保的普惠型小微企业贷款，要合理确定其利率定价水平。</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default"/>
          <w:sz w:val="21"/>
          <w:szCs w:val="21"/>
          <w:lang w:val="en-US" w:eastAsia="zh-CN"/>
        </w:rPr>
        <w:t>（三）进一步完善内部成本分摊和收益共享机制。各银行业金融机构要通过实行小微企业贷款内部资金转移定价优惠、安排专项激励费用予以补贴等方式，提升分支机构和一线从业人员开展小微企业相关业务的积极性。</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default"/>
          <w:sz w:val="21"/>
          <w:szCs w:val="21"/>
          <w:lang w:val="en-US" w:eastAsia="zh-CN"/>
        </w:rPr>
        <w:t>（四）严格落实相关收费减免要求。严格执行“七不准”“四公开”要求。强化落实“两禁两限”规定，除银团贷款外，禁止向小微企业贷款收取承诺费、资金管理费，严格限制收取财务顾问费、咨询费。严禁发放贷款时附加不合理条件，以克扣放款数额、以贷转存、存贷挂钩、浮利分费、借贷搭售等行为，变相抬升小微企业融资成本。在风险可控的前提下，进一步缩短融资链条，清理不必要的“通道”“过桥”环节，切实降低小微企业贷款附加成本。</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五、拓宽信贷资金来源，继续强化正向激励</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default"/>
          <w:sz w:val="21"/>
          <w:szCs w:val="21"/>
          <w:lang w:val="en-US" w:eastAsia="zh-CN"/>
        </w:rPr>
        <w:t>（一）鼓励发行小微企业专项金融债。商业银行申请发行小微企业专项金融债，不以完成小微企业贷款增长的监管考核指标为前提，但应就本行资金头寸情况做充分说明。要严格确保募集资金全部用于发放小微企业贷款。</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default"/>
          <w:sz w:val="21"/>
          <w:szCs w:val="21"/>
          <w:lang w:val="en-US" w:eastAsia="zh-CN"/>
        </w:rPr>
        <w:t>（二）研究完善小微企业贷款资本监管要求。研究修订商业银行资本管理相关监管法规，在计量信用风险加权资产时，对普惠型小微企业贷款，权重法下可适用75%的风险权重，内部评级法下可比照适用零售风险暴露的计量规则。</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default"/>
          <w:sz w:val="21"/>
          <w:szCs w:val="21"/>
          <w:lang w:val="en-US" w:eastAsia="zh-CN"/>
        </w:rPr>
        <w:t>（三）优化贷款支付方式。银行业金融机构在风险可控、严格贷款用途管理的前提下，进一步优化贷款支付方式。对自主支付的贷款，须经过合理的审核流程，充分发挥相关岗位制衡作用，加强跟踪监测，灵活采取账户分析、凭证查验、现场调查等方式，综合判断贷款用途，不将发票作为认定贷款用途是否符合合同约定的唯一要件。</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六、完善内部机制建设，充分调动银行基层“敢贷、愿贷”的积极性</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default"/>
          <w:sz w:val="21"/>
          <w:szCs w:val="21"/>
          <w:lang w:val="en-US" w:eastAsia="zh-CN"/>
        </w:rPr>
        <w:t>（一）进一步完善内部绩效考核机制。各银行业金融机构要提高小微企业金融业务的考核分值权重，将小微企业业务考核指标完成情况、监管政策落实情况与分支机构主要负责人考核评优及提拔任用挂钩。进一步优化对基层信贷人员的考核激励方式，适当下调利润考核要求。</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default"/>
          <w:sz w:val="21"/>
          <w:szCs w:val="21"/>
          <w:lang w:val="en-US" w:eastAsia="zh-CN"/>
        </w:rPr>
        <w:t>（二）进一步落实授信尽职免责制度和容错纠错机制。各银行业金融机构要重点明确对分支机构和基层人员的尽职免责认定标准和免责条件，进一步将授信尽职免责与不良贷款容忍制度有机结合，对分支机构可执行差别化的容忍度。对小微企业不良贷款率未超出容忍度标准的分支机构，在无违反法律法规和监管规则行为的前提下，可对分支机构负责人、小微业务部门和从业人员免予追责。各商业银行（不含外资银行）每半年度应向监管部门报送尽职免责落实情况。</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default"/>
          <w:sz w:val="21"/>
          <w:szCs w:val="21"/>
          <w:lang w:val="en-US" w:eastAsia="zh-CN"/>
        </w:rPr>
        <w:t>（三）进一步提升风险管控能力。各银行业金融机构要加强对小微企业贷款资金流向的监测，做好贷中贷后检查，确保贷款资金真正用于支持小微企业和实体经济，防止小微企业贷款资金被挪用至政府平台、房地产等调控领域形成新风险隐患。各银行业金融机构要强化对小微金融从业人员的内控合规管理，严防内外串通挪用银行低成本小微企业信贷资金进行“套利”的违规行为。</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七、优化信贷技术和方式，提升服务效率</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default"/>
          <w:sz w:val="21"/>
          <w:szCs w:val="21"/>
          <w:lang w:val="en-US" w:eastAsia="zh-CN"/>
        </w:rPr>
        <w:t>（一）充分发挥差异化竞争优势。大中型商业银行要充分发挥技术、资源优势，继续深化普惠金融事业部建设，严格落实综合服务、统计核算、风险管理、资源配置、考核评价的“五专”经营机制，将资源向小微企业金融服务领域倾斜，进一步加强与互联网、大数据的融合，深度挖掘自身金融数据和外部征信数据资源，在加强合规管理和风险控制的前提下，探索研究全流程线上贷款业务模式。地方性法人银行要坚持回归本源、服务地方实体经济的定位，继续下沉经营管理和服务重心，充分把握“地缘、亲缘、人缘”的固有优势，深耕本地小微企业市场，因地制宜创新信用评价方式和信贷产品。</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default"/>
          <w:sz w:val="21"/>
          <w:szCs w:val="21"/>
          <w:lang w:val="en-US" w:eastAsia="zh-CN"/>
        </w:rPr>
        <w:t>（二）加大续贷支持力度。各银行业金融机构要加大续贷政策落实力度，在守住风险底线的基础上，加强续贷产品的开发和推广，合理提高续贷业务在小微企业贷款中的比重，简化续贷办理流程，支持正常经营的小微企业融资周转“无缝衔接”。</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default"/>
          <w:sz w:val="21"/>
          <w:szCs w:val="21"/>
          <w:lang w:val="en-US" w:eastAsia="zh-CN"/>
        </w:rPr>
        <w:t>（三）优化贷款期限和流程。银行业金融机构要为小微企业合理设置流动资金贷款期限，研发适合小微企业的中长期固定资产贷款产品。根据自身风险管理制度和业务流程，积极探索建立贷款全流程限时制度，按业务类别对小微企业贷款办理时限做出明确承诺，精简耗时环节。</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八、用好用足外部优惠政策，充分发挥政策合力</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default"/>
          <w:sz w:val="21"/>
          <w:szCs w:val="21"/>
          <w:lang w:val="en-US" w:eastAsia="zh-CN"/>
        </w:rPr>
        <w:t>各银行业金融机构要充分把握定向降准、宏观审慎评估考核倾斜、支小再贷款、中期借贷便利等政策优惠，将新增信贷资源重点投向普惠型小微企业贷款。要主动对接税务部门，完善内部统计核算系统，按照监管考核要求和财政部、税务总局《关于金融机构小微企业贷款利息收入免征增值税政策的通知》（财税〔2018〕91号），依法合规申报小微企业贷款利息收入增值税减免，并按季报送免税数据。</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default"/>
          <w:sz w:val="21"/>
          <w:szCs w:val="21"/>
          <w:lang w:val="en-US" w:eastAsia="zh-CN"/>
        </w:rPr>
        <w:t>各银行业金融机构享受上述货币财税支持以及地方政府风险补偿、增量奖励等相关激励政策产生的红利，要在普惠型小微企业贷款利率定价和内部绩效考核中有相应体现。</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九、强化监管督导，做好政策传导和经验交流</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default"/>
          <w:sz w:val="21"/>
          <w:szCs w:val="21"/>
          <w:lang w:val="en-US" w:eastAsia="zh-CN"/>
        </w:rPr>
        <w:t>（一）实施分类督导。继续坚持以法人银行业金融机构为对象、会机关和银保监局上下联动的监管督导和考核方式。对完成考核指标良好，小微企业贷款基数大、占比高、户均余额低的银行业金融机构，加强正面宣传和正向激励；对未能完成考核指标且差距较大的银行业金融机构，加大督促整改工作力度。</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default"/>
          <w:sz w:val="21"/>
          <w:szCs w:val="21"/>
          <w:lang w:val="en-US" w:eastAsia="zh-CN"/>
        </w:rPr>
        <w:t>（二）抓实信贷计划序时进度考核。各银保监局要按月监测、按季通报辖内地方性法人机构和大中型商业银行分行的普惠型小微企业信贷计划序时进度情况,尽量减少月度、季度间的数据波动。对执行计划进度明显落后的机构，要及时加大监管提示、督导和通报力度，确保全年足额完成信贷计划。</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default"/>
          <w:sz w:val="21"/>
          <w:szCs w:val="21"/>
          <w:lang w:val="en-US" w:eastAsia="zh-CN"/>
        </w:rPr>
        <w:t>（三）强化调研和检查。各银保监局要定期组织开展对银行业金融机构小微企业贷款业务的实地调研，及时掌握新情况、新问题。同时，在信贷业务现场检查和风险排查中，要将小微企业贷款业务作为重点，防止部分银行“一哄而上”对部分小微企业过度融资、多头融资，形成集中风险。</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default"/>
          <w:sz w:val="21"/>
          <w:szCs w:val="21"/>
          <w:lang w:val="en-US" w:eastAsia="zh-CN"/>
        </w:rPr>
        <w:t>（四）加强数据质量审查。各银保监局要督促银行业金融机构加强和改进数据填报工作，提高S71报表数据填报质量。加强对数据解锁的审查，对频繁解锁的机构予以窗口指导，禁止随意解锁，对虚报数据行为严肃问责。辖内如出现大面积数据解锁申请，应由银保监局主要负责人审签。</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default"/>
          <w:sz w:val="21"/>
          <w:szCs w:val="21"/>
          <w:lang w:val="en-US" w:eastAsia="zh-CN"/>
        </w:rPr>
        <w:t>（五）加强政策宣讲和经验交流。各银保监局要适时对辖内银行业金融机构开展监管政策宣讲，特别是绩效考核倾斜、尽职免责和续贷制度。定期开展经验交流和银企对接活动，总结推广小微企业金融服务典型模式。</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十、推动完善信用信息体系建设，进一步缓解银企信息不对称难题</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default"/>
          <w:sz w:val="21"/>
          <w:szCs w:val="21"/>
          <w:lang w:val="en-US" w:eastAsia="zh-CN"/>
        </w:rPr>
        <w:t>（一）继续深化“银税互动”。各级监管部门要充分发挥银税合作联席会议的作用，鼓励银行业金融机构通过与税务部门数据直连或与正规持牌的第三方征信机构合作等方式，搭建“互联网+大数据+金融+税务”平台，积极创新银税合作信贷产品。</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default"/>
          <w:sz w:val="21"/>
          <w:szCs w:val="21"/>
          <w:lang w:val="en-US" w:eastAsia="zh-CN"/>
        </w:rPr>
        <w:t>（二）加强“银商合作”力度。各级监管部门要进一步与市场监管部门建立和完善银商合作联席会议制度，鼓励银行业金融机构充分利用小微企业名录系统，挖掘具备有效信贷需求的小微企业客户，定期交换逃废银行债务和工商行政处罚的企业信息，实现失信联合惩戒、守信联合激励。</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default"/>
          <w:sz w:val="21"/>
          <w:szCs w:val="21"/>
          <w:lang w:val="en-US" w:eastAsia="zh-CN"/>
        </w:rPr>
        <w:t>（三）推动建立省市级小微企业信用信息共享平台。各级监管部门要积极配合和推动地方政府，进一步整合市场监管、税务、法院、公安、海关、房管、电力等多个部门的小微企业信用信息，实现信息的自动采集、查询和实时更新。</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十一、推动完善小微企业增信体系，提高风险分担能力和水平</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default"/>
          <w:sz w:val="21"/>
          <w:szCs w:val="21"/>
          <w:lang w:val="en-US" w:eastAsia="zh-CN"/>
        </w:rPr>
        <w:t>（一）进一步深化“银担合作”机制。各级监管部门要充分发挥国家和地方融资担保基金的作用，积极构建政府性融资担保机构和商业银行共同参与的风险分担机制，通过利益融合、激励相容，实现增信分险。在依法合规、风险可控的前提下，引导商业银行对融资担保机构适度降低授信门槛、简化授信程序，将更多符合条件的融资担保机构纳入合作范围，在授信额度、放大倍数、利率水平、续贷条件等方面对小微企业提供更多优惠。</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r>
        <w:rPr>
          <w:rFonts w:hint="default"/>
          <w:sz w:val="21"/>
          <w:szCs w:val="21"/>
          <w:lang w:val="en-US" w:eastAsia="zh-CN"/>
        </w:rPr>
        <w:t>（二）进一步加大“银保合作”力度。各级监管部门要引导银行业金融机构和保险公司加强合作，建立风险共担机制，完善工作联系机制，强化银保双方系统对接，实现业务数据信息共享。鼓励保险公司在风险可控情况下，为小微企业获得银行贷款提供增信支持。鼓励保险公司针对小微企业的还贷方式，提供更灵活的银行小微企业贷款保证保险产品。持续推进保险资金支农支小融资业务试点。鼓励保险公司投资商业银行发行的小微企业专项金融债、小微企业信贷资产证券化等金融产品。</w:t>
      </w:r>
    </w:p>
    <w:p>
      <w:pPr>
        <w:pStyle w:val="20"/>
        <w:spacing w:before="0" w:beforeAutospacing="0" w:after="0" w:afterAutospacing="0" w:line="360" w:lineRule="auto"/>
        <w:ind w:left="0" w:leftChars="0" w:firstLine="420" w:firstLineChars="200"/>
        <w:jc w:val="right"/>
        <w:rPr>
          <w:rFonts w:hint="default"/>
          <w:sz w:val="21"/>
          <w:szCs w:val="21"/>
          <w:lang w:val="en-US" w:eastAsia="zh-CN"/>
        </w:rPr>
      </w:pPr>
      <w:r>
        <w:rPr>
          <w:rFonts w:hint="default"/>
          <w:sz w:val="21"/>
          <w:szCs w:val="21"/>
          <w:lang w:val="en-US" w:eastAsia="zh-CN"/>
        </w:rPr>
        <w:t>2019年3月4日</w:t>
      </w:r>
    </w:p>
    <w:p>
      <w:pPr>
        <w:pStyle w:val="20"/>
        <w:spacing w:before="0" w:beforeAutospacing="0" w:after="0" w:afterAutospacing="0" w:line="360" w:lineRule="auto"/>
        <w:ind w:left="0" w:leftChars="0" w:firstLine="420" w:firstLineChars="200"/>
        <w:jc w:val="right"/>
        <w:rPr>
          <w:rFonts w:hint="default"/>
          <w:sz w:val="21"/>
          <w:szCs w:val="21"/>
          <w:lang w:val="en-US" w:eastAsia="zh-CN"/>
        </w:rPr>
      </w:pPr>
      <w:r>
        <w:rPr>
          <w:rFonts w:hint="default"/>
          <w:sz w:val="21"/>
          <w:szCs w:val="21"/>
          <w:lang w:val="en-US" w:eastAsia="zh-CN"/>
        </w:rPr>
        <w:t>（此件发至各银保监分局和地方法人银行业金融机构）</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p>
    <w:p>
      <w:pPr>
        <w:pStyle w:val="20"/>
        <w:spacing w:before="0" w:beforeAutospacing="0" w:after="0" w:afterAutospacing="0" w:line="360" w:lineRule="auto"/>
        <w:ind w:left="0" w:leftChars="0" w:firstLine="420" w:firstLineChars="200"/>
        <w:jc w:val="both"/>
        <w:rPr>
          <w:rFonts w:hint="default"/>
          <w:sz w:val="21"/>
          <w:szCs w:val="21"/>
          <w:lang w:val="en-US" w:eastAsia="zh-CN"/>
        </w:rPr>
      </w:pPr>
    </w:p>
    <w:p>
      <w:pPr>
        <w:pStyle w:val="20"/>
        <w:spacing w:before="0" w:beforeAutospacing="0" w:after="0" w:afterAutospacing="0" w:line="360" w:lineRule="auto"/>
        <w:ind w:left="0" w:leftChars="0" w:firstLine="420" w:firstLineChars="200"/>
        <w:jc w:val="both"/>
        <w:rPr>
          <w:rFonts w:hint="default"/>
          <w:sz w:val="21"/>
          <w:szCs w:val="21"/>
          <w:lang w:val="en-US" w:eastAsia="zh-CN"/>
        </w:rPr>
      </w:pPr>
    </w:p>
    <w:p>
      <w:pPr>
        <w:keepNext w:val="0"/>
        <w:keepLines w:val="0"/>
        <w:widowControl/>
        <w:suppressLineNumbers w:val="0"/>
        <w:spacing w:line="432" w:lineRule="auto"/>
        <w:jc w:val="center"/>
        <w:rPr>
          <w:rFonts w:hint="eastAsia" w:ascii="宋体" w:hAnsi="宋体" w:eastAsia="宋体" w:cs="Times New Roman"/>
          <w:b/>
          <w:bCs/>
          <w:kern w:val="2"/>
          <w:sz w:val="30"/>
          <w:szCs w:val="30"/>
          <w:lang w:val="en-US" w:eastAsia="zh-CN" w:bidi="ar-SA"/>
        </w:rPr>
      </w:pPr>
      <w:r>
        <w:rPr>
          <w:rFonts w:hint="eastAsia" w:ascii="宋体" w:hAnsi="宋体" w:eastAsia="宋体" w:cs="Times New Roman"/>
          <w:b/>
          <w:bCs/>
          <w:kern w:val="2"/>
          <w:sz w:val="30"/>
          <w:szCs w:val="30"/>
          <w:lang w:val="en-US" w:eastAsia="zh-CN" w:bidi="ar-SA"/>
        </w:rPr>
        <w:t xml:space="preserve">关于印发《服务业发展资金管理办法》的通知 </w:t>
      </w:r>
    </w:p>
    <w:p>
      <w:pPr>
        <w:keepNext w:val="0"/>
        <w:keepLines w:val="0"/>
        <w:widowControl/>
        <w:suppressLineNumbers w:val="0"/>
        <w:spacing w:line="432" w:lineRule="auto"/>
        <w:jc w:val="center"/>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财建[2019]50号</w:t>
      </w:r>
    </w:p>
    <w:p>
      <w:pPr>
        <w:pStyle w:val="20"/>
        <w:spacing w:before="0" w:beforeAutospacing="0" w:after="0" w:afterAutospacing="0" w:line="360" w:lineRule="auto"/>
        <w:jc w:val="both"/>
        <w:rPr>
          <w:rFonts w:hint="eastAsia"/>
          <w:sz w:val="21"/>
          <w:szCs w:val="21"/>
          <w:lang w:val="en-US" w:eastAsia="zh-CN"/>
        </w:rPr>
      </w:pPr>
      <w:r>
        <w:rPr>
          <w:rFonts w:hint="eastAsia"/>
          <w:sz w:val="21"/>
          <w:szCs w:val="21"/>
          <w:lang w:val="en-US" w:eastAsia="zh-CN"/>
        </w:rPr>
        <w:t>各省、自治区、直辖市、计划单列市、新疆生产建设兵团财政厅（局）：</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为支持服务业加快发展，中央财政设立服务业发展资金。为加强资金管理，提高资金使用效益，根据国家有关法律法规及预算管理要求，我们修订了《服务业发展资金管理办法》。现印发给你们，请遵照执行。</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附件：服务业发展资金管理办法</w:t>
      </w:r>
    </w:p>
    <w:p>
      <w:pPr>
        <w:pStyle w:val="20"/>
        <w:spacing w:before="0" w:beforeAutospacing="0" w:after="0" w:afterAutospacing="0" w:line="360" w:lineRule="auto"/>
        <w:ind w:left="0" w:leftChars="0" w:firstLine="420" w:firstLineChars="200"/>
        <w:jc w:val="right"/>
        <w:rPr>
          <w:rFonts w:hint="eastAsia"/>
          <w:sz w:val="21"/>
          <w:szCs w:val="21"/>
          <w:lang w:val="en-US" w:eastAsia="zh-CN"/>
        </w:rPr>
      </w:pPr>
      <w:r>
        <w:rPr>
          <w:rFonts w:hint="eastAsia"/>
          <w:sz w:val="21"/>
          <w:szCs w:val="21"/>
          <w:lang w:val="en-US" w:eastAsia="zh-CN"/>
        </w:rPr>
        <w:t>　　财 政 部</w:t>
      </w:r>
    </w:p>
    <w:p>
      <w:pPr>
        <w:pStyle w:val="20"/>
        <w:spacing w:before="0" w:beforeAutospacing="0" w:after="0" w:afterAutospacing="0" w:line="360" w:lineRule="auto"/>
        <w:ind w:left="0" w:leftChars="0" w:firstLine="420" w:firstLineChars="200"/>
        <w:jc w:val="right"/>
        <w:rPr>
          <w:rFonts w:hint="eastAsia"/>
          <w:sz w:val="21"/>
          <w:szCs w:val="21"/>
          <w:lang w:val="en-US" w:eastAsia="zh-CN"/>
        </w:rPr>
      </w:pPr>
      <w:r>
        <w:rPr>
          <w:rFonts w:hint="eastAsia"/>
          <w:sz w:val="21"/>
          <w:szCs w:val="21"/>
          <w:lang w:val="en-US" w:eastAsia="zh-CN"/>
        </w:rPr>
        <w:t>　　2019年3月15日 </w:t>
      </w:r>
    </w:p>
    <w:p>
      <w:pPr>
        <w:spacing w:line="432" w:lineRule="auto"/>
        <w:jc w:val="center"/>
        <w:rPr>
          <w:rFonts w:hint="eastAsia" w:ascii="宋体" w:hAnsi="宋体" w:eastAsia="宋体" w:cs="宋体"/>
          <w:sz w:val="14"/>
          <w:szCs w:val="14"/>
        </w:rPr>
      </w:pPr>
    </w:p>
    <w:p>
      <w:pPr>
        <w:pStyle w:val="20"/>
        <w:spacing w:before="0" w:beforeAutospacing="0" w:after="0" w:afterAutospacing="0" w:line="360" w:lineRule="auto"/>
        <w:ind w:left="0" w:leftChars="0" w:firstLine="560" w:firstLineChars="20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服务业发展资金管理办法</w:t>
      </w:r>
    </w:p>
    <w:p>
      <w:pPr>
        <w:jc w:val="center"/>
        <w:rPr>
          <w:rFonts w:ascii="仿宋_GB2312" w:eastAsia="仿宋_GB2312"/>
          <w:sz w:val="32"/>
          <w:szCs w:val="32"/>
        </w:rPr>
      </w:pPr>
    </w:p>
    <w:p>
      <w:pPr>
        <w:pStyle w:val="20"/>
        <w:spacing w:before="0" w:beforeAutospacing="0" w:after="0" w:afterAutospacing="0" w:line="360" w:lineRule="auto"/>
        <w:ind w:left="0" w:leftChars="0" w:firstLine="420" w:firstLineChars="20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第一章 总 则</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第一条  为提高中央财政资金使用绩效，促进服务业加快发展，根据《中华人民共和国预算法》和国务院有关加快发展服务业的要求及产业发展指导意见，制定本办法。</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第二条  本办法所称服务业发展资金是指中央政府从一般公共预算中安排的用于支持现代商品流通发展、促进现代服务业公共服务体系建设的资金。</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第三条  服务业发展资金由财政部会同商务部等有关行业、产业的业务主管部门（以下简称业务主管部门）管理。</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财政部负责提出年度服务业发展资金支持重点、资金额度；审核业务主管部门提出的工作方案及预算初步建议；下达预算及拨付资金；对资金的使用及绩效情况进行监督和定期开展重点绩效评价。</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业务主管部门负责提出具体工作方案及预算初步建议；对资金的使用及绩效情况进行监督检查和评价。</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第四条  服务业发展资金实施期限至2022年。届时根据国家服务业发展情况评估确定是否继续实施和延续期限。</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第五条  服务业发展资金管理遵循公开、择优、规范、高效原则，资金分配和使用情况向社会公开，接受有关部门和社会监督。</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p>
    <w:p>
      <w:pPr>
        <w:pStyle w:val="20"/>
        <w:spacing w:before="0" w:beforeAutospacing="0" w:after="0" w:afterAutospacing="0" w:line="360" w:lineRule="auto"/>
        <w:ind w:left="0" w:leftChars="0" w:firstLine="420" w:firstLineChars="20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第二章 资金支持范围和支持方式</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第六条  服务业发展资金主要用于支持创新现代商品流通方式，改善现代服务业公共服务体系，推动流通产业结构调整，促进城乡市场发展,扩大国内消费，提升消费品质。具体包括：</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（一）电子商务、现代供应链、科技服务、环保服务、信息服务、知识产权服务等现代服务业；</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（二）养老服务、健康服务、家政服务等民生服务业；</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（三）农村生产、生活用品流通及服务体系建设；</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（四）全国跨区域农产品流通网络建设；</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（五）现代服务业的区域性综合试点；</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（六）规范商贸流通业的市场环境，建设维护诚信等制度体系；</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（七）财政部会同相关业务主管部门确定的其他相关领域。</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第七条  地方应发挥财政引导、市场主导作用，结合项目特点，因地制宜采取财政补助、以奖代补、股权投资、政府购买服务等支持方式，明确支持比例和上限，对符合要求的项目予以支持。</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第八条  服务业发展资金主要用于本办法第六条规定的支持范围的项目建设支出，不得用于征地拆迁、人员经费等经常性开支以及提取工作经费。</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p>
    <w:p>
      <w:pPr>
        <w:pStyle w:val="20"/>
        <w:spacing w:before="0" w:beforeAutospacing="0" w:after="0" w:afterAutospacing="0" w:line="360" w:lineRule="auto"/>
        <w:ind w:left="0" w:leftChars="0" w:firstLine="420" w:firstLineChars="20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第三章 资金分配方式</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第九条  服务业发展资金原则上以因素法分配，确需考虑专业规划布局、项目特点的，采取项目法分配，实施全过程绩效管理。</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第十条  采取因素法分配的，主要依据当年预算规模、支持方向及工作基础等因素，进行测算及安排资金。</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每年度资金分配到各省、自治区、直辖市（以下统称省）级财政部门时，工作基础权重30%，发展指标权重30%，绩效考核结果或资金使用情况权重20%，其他相关因素权重20%。</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以后年度支出方向确需调整的，可以按照规定调整相关因素及权重。</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第十一条  采取项目法分配的，通过专家评审、竞争性谈判、招标等方式选拔符合要求的企业或单位。</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 xml:space="preserve">第十二条  申请服务业发展资金的企业应当符合以下基本条件： </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（一）在中华人民共和国境内依法登记注册，具有独立法人资格；</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（二）按照有关规定已取得开展相关业务的资格；</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（三）主营业务属于本办法第六条规定的支持范围，业务模式明确，人才资源具备，经营能力突出；</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（四）建立了规范的财务管理制度，近五年来无违法违纪行为，信用记录良好。</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第十三条  需要试点的，由财政部根据有关专业规划布局，采取专家评审、竞争择优等方式统筹确定试点地区。</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p>
    <w:p>
      <w:pPr>
        <w:pStyle w:val="20"/>
        <w:spacing w:before="0" w:beforeAutospacing="0" w:after="0" w:afterAutospacing="0" w:line="360" w:lineRule="auto"/>
        <w:ind w:left="0" w:leftChars="0" w:firstLine="420" w:firstLineChars="20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第四章 预算管理</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第十四条  每年向省级财政部门下达资金前，财政部会同相关业务主管部门，根据业务需要及工作基础情况，印发工作通知，明确当年服务业发展资金的实施目的、基本原则、主要任务、中央财政资金支持重点及工作要求等具体内容。</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第十五条  符合工作要求及条件的地区，由省级财政部门会同同级业务主管部门在规定时间内，以正式文件的形式向财政部及相关业务主管部门报送本省实施方案。</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第十六条  财政部按照预算管理程序，对各省报送的实施方案、相关业务主管部门提出的预算初步建议进行审核，并于每年中央预算批准后90日内将资金全部下达到省级财政部门。</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第十七条  省级财政部门收到服务业发展资金后,应当在30日内全部下达到本地区县级以上财政部门。</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第十八条  省级财政部门会同同级业务主管部门根据下达的服务业发展资金额度及工作通知要求，结合前期报送的实施方案，制定资金使用具体方案，于资金下达2个月内报财政部及有关业务主管部门备案。备案内容包括：绩效目标、具体项目、项目总投资、项目资金来源、主要建设内容、建设地点、项目开竣工期限等。</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第十九条  服务业发展资金使用具体方案备案前应通过互联网等媒介向社会公示，公示期不少于5个工作日，公示无异议后方可上报并组织实施。</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第二十条  服务业发展资金使用具体方案备案后不得调整。确需调整的，应当将项目调整情况及调整原因报财政部及有关业务主管部门备案。</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第二十一条  对中央财政其他资金已经支持的项目，服务业发展资金原则上不再支持。</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第二十二条  地方各级财政部门应当严格按照预算管理及国库集中支付制度等有关规定，加强服务业发展资金支付管理，确保服务业发展资金及时、有效、安全支付。</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第二十三条  省级财政部门会同同级业务主管部门按照资金管理有关规定以及有关业务指导文件要求，加强对项目建设的监管并及时验收，于每年1月底前报送上年度服务业发展资金项目实施及绩效情况总结。</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p>
    <w:p>
      <w:pPr>
        <w:pStyle w:val="20"/>
        <w:spacing w:before="0" w:beforeAutospacing="0" w:after="0" w:afterAutospacing="0" w:line="360" w:lineRule="auto"/>
        <w:ind w:left="0" w:leftChars="0" w:firstLine="420" w:firstLineChars="20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第五章 监督管理</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第二十四条  财政部和业务主管部门对服务业发展资金进行预算绩效管理，发现问题及时督促整改。</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省级财政和业务主管部门对服务业发展资金绩效负总责，市（区、县）级财政和业务主管部门负责服务业发展资金项目实施和绩效管理。</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第二十五条  获得服务业发展资金的企业、单位收到资金后，应当按照国家财务、会计制度的有关规定进行账务处理，严格按照规定使用资金，并自觉接受监督检查。</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第二十六条  地方各级财政部门、同级业务主管部门按职责分工加强对服务业发展资金安排使用情况绩效评价，评价重点是预算执行进度、项目建设实施情况、项目产出和社会、经济效益等。</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第二十七条  财政部会同主管部门对服务业发展资金管理情况进行不定期抽查。</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地方各级财政部门应当会同同级业务主管部门，加强对项目执行情况和服务业发展资金使用情况的监督管理。地方各级财政和同级业务主管部门按照职责分工，积极配合各级审计部门审计。</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对造成项目实施重大损失或不良影响的地区，财政部和业务主管部门视情况终止项目并将资金收回中央财政。</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具体承担项目的地区应当建立项目退出和替补机制。</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第二十八条  各级财政部门、业务主管部门和项目实施单位及其工作人员在服务业发展资金项目审核、资金分配、项目执行等工作中，存在违反规定分配或使用服务业发展资金以及滥用职权、玩忽职守、徇私舞弊等违法违纪行为以及造成隐性债务的，财政部将收回已安排的服务业发展资金，并按照预算法、公务员法、监察法、财政违法行为处罚处分条例、地方政府隐性债务问责办法等国家有关规定追究相应责任；涉嫌犯罪的，移送司法机关处理。</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p>
    <w:p>
      <w:pPr>
        <w:pStyle w:val="20"/>
        <w:spacing w:before="0" w:beforeAutospacing="0" w:after="0" w:afterAutospacing="0" w:line="360" w:lineRule="auto"/>
        <w:ind w:left="0" w:leftChars="0" w:firstLine="420" w:firstLineChars="20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第六章 附 则</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第二十九条  省级财政部门应根据本办法，结合本地实际，制定实施细则，报财政部备案。</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实施细则应进一步明确资金支持范围、支持方式、列支范围、项目实施单位遴选条件、遴选程序、资金支付方式和进度、预算执行监督检查、绩效管理及信息公开等内容，突出可操作性和实效性。</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第三十条  本办法自发布之日起施行。《农村物流服务体系发展专项资金管理办法》（财建〔2009〕228号）、《中小商贸企业发展专项资金管理暂行办法》（财建〔2009〕229号）、《新农村现代流通服务网络工程专项资金管理办法》（财建〔2009〕630号）、《中央财政促进服务业发展专项资金管理办法》（财建〔2013〕469号）以及《中央财政服务业发展专项资金管理办法》（财建〔2015〕256号）、《〈中央财政服务业发展专项资金管理办法〉补充规定》(财建〔2016〕833号)同时废止。</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p>
    <w:p>
      <w:pPr>
        <w:pStyle w:val="20"/>
        <w:spacing w:before="0" w:beforeAutospacing="0" w:after="0" w:afterAutospacing="0" w:line="360" w:lineRule="auto"/>
        <w:ind w:left="0" w:leftChars="0" w:firstLine="420" w:firstLineChars="200"/>
        <w:jc w:val="both"/>
        <w:rPr>
          <w:rFonts w:hint="default"/>
          <w:sz w:val="21"/>
          <w:szCs w:val="21"/>
          <w:lang w:val="en-US" w:eastAsia="zh-CN"/>
        </w:rPr>
      </w:pPr>
    </w:p>
    <w:p>
      <w:pPr>
        <w:pStyle w:val="20"/>
        <w:spacing w:before="0" w:beforeAutospacing="0" w:after="0" w:afterAutospacing="0" w:line="360" w:lineRule="auto"/>
        <w:ind w:left="0" w:leftChars="0" w:firstLine="420" w:firstLineChars="200"/>
        <w:jc w:val="both"/>
        <w:rPr>
          <w:rFonts w:hint="default"/>
          <w:sz w:val="21"/>
          <w:szCs w:val="21"/>
          <w:lang w:val="en-US" w:eastAsia="zh-CN"/>
        </w:rPr>
      </w:pPr>
    </w:p>
    <w:p>
      <w:pPr>
        <w:pStyle w:val="20"/>
        <w:spacing w:before="0" w:beforeAutospacing="0" w:after="0" w:afterAutospacing="0" w:line="360" w:lineRule="auto"/>
        <w:ind w:left="0" w:leftChars="0" w:firstLine="420" w:firstLineChars="200"/>
        <w:jc w:val="both"/>
        <w:rPr>
          <w:rFonts w:hint="default"/>
          <w:sz w:val="21"/>
          <w:szCs w:val="21"/>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Times New Roman"/>
          <w:b/>
          <w:bCs/>
          <w:kern w:val="2"/>
          <w:sz w:val="30"/>
          <w:szCs w:val="30"/>
          <w:lang w:val="en-US" w:eastAsia="zh-CN" w:bidi="ar-SA"/>
        </w:rPr>
      </w:pPr>
      <w:bookmarkStart w:id="105" w:name="_Toc3608"/>
      <w:r>
        <w:rPr>
          <w:rFonts w:hint="eastAsia" w:ascii="宋体" w:hAnsi="宋体" w:eastAsia="宋体" w:cs="Times New Roman"/>
          <w:b/>
          <w:bCs/>
          <w:kern w:val="2"/>
          <w:sz w:val="30"/>
          <w:szCs w:val="30"/>
          <w:lang w:val="en-US" w:eastAsia="zh-CN" w:bidi="ar-SA"/>
        </w:rPr>
        <w:t>关于推荐2019年度国家小型微型企业创业创新示范基地的通知</w:t>
      </w:r>
      <w:bookmarkEnd w:id="105"/>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Times New Roman"/>
          <w:b/>
          <w:bCs/>
          <w:kern w:val="2"/>
          <w:sz w:val="24"/>
          <w:szCs w:val="24"/>
          <w:lang w:val="en-US" w:eastAsia="zh-CN" w:bidi="ar-SA"/>
        </w:rPr>
      </w:pPr>
      <w:bookmarkStart w:id="106" w:name="_Toc18870"/>
      <w:r>
        <w:rPr>
          <w:rFonts w:hint="eastAsia" w:ascii="宋体" w:hAnsi="宋体" w:eastAsia="宋体" w:cs="Times New Roman"/>
          <w:b/>
          <w:bCs/>
          <w:kern w:val="2"/>
          <w:sz w:val="24"/>
          <w:szCs w:val="24"/>
          <w:lang w:val="en-US" w:eastAsia="zh-CN" w:bidi="ar-SA"/>
        </w:rPr>
        <w:t>工企业函〔</w:t>
      </w:r>
      <w:r>
        <w:rPr>
          <w:rFonts w:hint="default" w:ascii="宋体" w:hAnsi="宋体" w:eastAsia="宋体" w:cs="Times New Roman"/>
          <w:b/>
          <w:bCs/>
          <w:kern w:val="2"/>
          <w:sz w:val="24"/>
          <w:szCs w:val="24"/>
          <w:lang w:val="en-US" w:eastAsia="zh-CN" w:bidi="ar-SA"/>
        </w:rPr>
        <w:t>2019</w:t>
      </w:r>
      <w:r>
        <w:rPr>
          <w:rFonts w:hint="eastAsia" w:ascii="宋体" w:hAnsi="宋体" w:eastAsia="宋体" w:cs="Times New Roman"/>
          <w:b/>
          <w:bCs/>
          <w:kern w:val="2"/>
          <w:sz w:val="24"/>
          <w:szCs w:val="24"/>
          <w:lang w:val="en-US" w:eastAsia="zh-CN" w:bidi="ar-SA"/>
        </w:rPr>
        <w:t>〕</w:t>
      </w:r>
      <w:r>
        <w:rPr>
          <w:rFonts w:hint="default" w:ascii="宋体" w:hAnsi="宋体" w:eastAsia="宋体" w:cs="Times New Roman"/>
          <w:b/>
          <w:bCs/>
          <w:kern w:val="2"/>
          <w:sz w:val="24"/>
          <w:szCs w:val="24"/>
          <w:lang w:val="en-US" w:eastAsia="zh-CN" w:bidi="ar-SA"/>
        </w:rPr>
        <w:t>164</w:t>
      </w:r>
      <w:r>
        <w:rPr>
          <w:rFonts w:hint="eastAsia" w:ascii="宋体" w:hAnsi="宋体" w:eastAsia="宋体" w:cs="Times New Roman"/>
          <w:b/>
          <w:bCs/>
          <w:kern w:val="2"/>
          <w:sz w:val="24"/>
          <w:szCs w:val="24"/>
          <w:lang w:val="en-US" w:eastAsia="zh-CN" w:bidi="ar-SA"/>
        </w:rPr>
        <w:t>号</w:t>
      </w:r>
      <w:bookmarkEnd w:id="106"/>
    </w:p>
    <w:p>
      <w:pPr>
        <w:rPr>
          <w:rFonts w:hint="eastAsia"/>
          <w:lang w:val="en-US" w:eastAsia="zh-CN"/>
        </w:rPr>
      </w:pPr>
    </w:p>
    <w:p>
      <w:pPr>
        <w:pStyle w:val="20"/>
        <w:spacing w:before="0" w:beforeAutospacing="0" w:after="0" w:afterAutospacing="0" w:line="360" w:lineRule="auto"/>
        <w:ind w:left="0" w:leftChars="0" w:firstLine="0" w:firstLineChars="0"/>
        <w:jc w:val="both"/>
        <w:rPr>
          <w:rFonts w:hint="eastAsia"/>
          <w:sz w:val="21"/>
          <w:szCs w:val="21"/>
          <w:lang w:val="en-US" w:eastAsia="zh-CN"/>
        </w:rPr>
      </w:pPr>
      <w:r>
        <w:rPr>
          <w:rFonts w:hint="eastAsia"/>
          <w:sz w:val="21"/>
          <w:szCs w:val="21"/>
          <w:lang w:val="en-US" w:eastAsia="zh-CN"/>
        </w:rPr>
        <w:t>各省、自治区、直辖市及计划单列市、新疆生产建设兵团中小企业主管部门：</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依据《国家小型微型企业创业创新示范基地建设管理办法》（工信部企业〔</w:t>
      </w:r>
      <w:r>
        <w:rPr>
          <w:rFonts w:hint="default"/>
          <w:sz w:val="21"/>
          <w:szCs w:val="21"/>
          <w:lang w:val="en-US" w:eastAsia="zh-CN"/>
        </w:rPr>
        <w:t>2016</w:t>
      </w:r>
      <w:r>
        <w:rPr>
          <w:rFonts w:hint="eastAsia"/>
          <w:sz w:val="21"/>
          <w:szCs w:val="21"/>
          <w:lang w:val="en-US" w:eastAsia="zh-CN"/>
        </w:rPr>
        <w:t>〕</w:t>
      </w:r>
      <w:r>
        <w:rPr>
          <w:rFonts w:hint="default"/>
          <w:sz w:val="21"/>
          <w:szCs w:val="21"/>
          <w:lang w:val="en-US" w:eastAsia="zh-CN"/>
        </w:rPr>
        <w:t>194</w:t>
      </w:r>
      <w:r>
        <w:rPr>
          <w:rFonts w:hint="eastAsia"/>
          <w:sz w:val="21"/>
          <w:szCs w:val="21"/>
          <w:lang w:val="en-US" w:eastAsia="zh-CN"/>
        </w:rPr>
        <w:t>号，以下简称《管理办法》），现就推荐</w:t>
      </w:r>
      <w:r>
        <w:rPr>
          <w:rFonts w:hint="default"/>
          <w:sz w:val="21"/>
          <w:szCs w:val="21"/>
          <w:lang w:val="en-US" w:eastAsia="zh-CN"/>
        </w:rPr>
        <w:t>2019</w:t>
      </w:r>
      <w:r>
        <w:rPr>
          <w:rFonts w:hint="eastAsia"/>
          <w:sz w:val="21"/>
          <w:szCs w:val="21"/>
          <w:lang w:val="en-US" w:eastAsia="zh-CN"/>
        </w:rPr>
        <w:t>年国家小型微型企业创业创新示范基地（以下简称示范基地）有关事项通知如下：</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一、按照自愿原则进行申报，符合条件的申报单位向所在地省级中小企业主管部门提出申请。</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二、各省级中小企业主管部门要按照《管理办法》的要求做好推荐工作，每个省、自治区、直辖市推荐的示范基地数量不超过</w:t>
      </w:r>
      <w:r>
        <w:rPr>
          <w:rFonts w:hint="default"/>
          <w:sz w:val="21"/>
          <w:szCs w:val="21"/>
          <w:lang w:val="en-US" w:eastAsia="zh-CN"/>
        </w:rPr>
        <w:t>4</w:t>
      </w:r>
      <w:r>
        <w:rPr>
          <w:rFonts w:hint="eastAsia"/>
          <w:sz w:val="21"/>
          <w:szCs w:val="21"/>
          <w:lang w:val="en-US" w:eastAsia="zh-CN"/>
        </w:rPr>
        <w:t>个，计划单列市、新疆生产建设兵团推荐的示范基地数量不超过</w:t>
      </w:r>
      <w:r>
        <w:rPr>
          <w:rFonts w:hint="default"/>
          <w:sz w:val="21"/>
          <w:szCs w:val="21"/>
          <w:lang w:val="en-US" w:eastAsia="zh-CN"/>
        </w:rPr>
        <w:t>2</w:t>
      </w:r>
      <w:r>
        <w:rPr>
          <w:rFonts w:hint="eastAsia"/>
          <w:sz w:val="21"/>
          <w:szCs w:val="21"/>
          <w:lang w:val="en-US" w:eastAsia="zh-CN"/>
        </w:rPr>
        <w:t>个。</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三、根据《管理办法》第十七条规定，示范基地每次公告有效期为三年。</w:t>
      </w:r>
      <w:r>
        <w:rPr>
          <w:rFonts w:hint="default"/>
          <w:sz w:val="21"/>
          <w:szCs w:val="21"/>
          <w:lang w:val="en-US" w:eastAsia="zh-CN"/>
        </w:rPr>
        <w:t>2016</w:t>
      </w:r>
      <w:r>
        <w:rPr>
          <w:rFonts w:hint="eastAsia"/>
          <w:sz w:val="21"/>
          <w:szCs w:val="21"/>
          <w:lang w:val="en-US" w:eastAsia="zh-CN"/>
        </w:rPr>
        <w:t>年公布的示范基地将于</w:t>
      </w:r>
      <w:r>
        <w:rPr>
          <w:rFonts w:hint="default"/>
          <w:sz w:val="21"/>
          <w:szCs w:val="21"/>
          <w:lang w:val="en-US" w:eastAsia="zh-CN"/>
        </w:rPr>
        <w:t>2019</w:t>
      </w:r>
      <w:r>
        <w:rPr>
          <w:rFonts w:hint="eastAsia"/>
          <w:sz w:val="21"/>
          <w:szCs w:val="21"/>
          <w:lang w:val="en-US" w:eastAsia="zh-CN"/>
        </w:rPr>
        <w:t>年</w:t>
      </w:r>
      <w:r>
        <w:rPr>
          <w:rFonts w:hint="default"/>
          <w:sz w:val="21"/>
          <w:szCs w:val="21"/>
          <w:lang w:val="en-US" w:eastAsia="zh-CN"/>
        </w:rPr>
        <w:t>12</w:t>
      </w:r>
      <w:r>
        <w:rPr>
          <w:rFonts w:hint="eastAsia"/>
          <w:sz w:val="21"/>
          <w:szCs w:val="21"/>
          <w:lang w:val="en-US" w:eastAsia="zh-CN"/>
        </w:rPr>
        <w:t>月</w:t>
      </w:r>
      <w:r>
        <w:rPr>
          <w:rFonts w:hint="default"/>
          <w:sz w:val="21"/>
          <w:szCs w:val="21"/>
          <w:lang w:val="en-US" w:eastAsia="zh-CN"/>
        </w:rPr>
        <w:t>31</w:t>
      </w:r>
      <w:r>
        <w:rPr>
          <w:rFonts w:hint="eastAsia"/>
          <w:sz w:val="21"/>
          <w:szCs w:val="21"/>
          <w:lang w:val="en-US" w:eastAsia="zh-CN"/>
        </w:rPr>
        <w:t>日有效期满，原示范基地可自愿重新申报。</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四、请于</w:t>
      </w:r>
      <w:r>
        <w:rPr>
          <w:rFonts w:hint="default"/>
          <w:sz w:val="21"/>
          <w:szCs w:val="21"/>
          <w:lang w:val="en-US" w:eastAsia="zh-CN"/>
        </w:rPr>
        <w:t>5</w:t>
      </w:r>
      <w:r>
        <w:rPr>
          <w:rFonts w:hint="eastAsia"/>
          <w:sz w:val="21"/>
          <w:szCs w:val="21"/>
          <w:lang w:val="en-US" w:eastAsia="zh-CN"/>
        </w:rPr>
        <w:t>月</w:t>
      </w:r>
      <w:r>
        <w:rPr>
          <w:rFonts w:hint="default"/>
          <w:sz w:val="21"/>
          <w:szCs w:val="21"/>
          <w:lang w:val="en-US" w:eastAsia="zh-CN"/>
        </w:rPr>
        <w:t>20</w:t>
      </w:r>
      <w:r>
        <w:rPr>
          <w:rFonts w:hint="eastAsia"/>
          <w:sz w:val="21"/>
          <w:szCs w:val="21"/>
          <w:lang w:val="en-US" w:eastAsia="zh-CN"/>
        </w:rPr>
        <w:t>日前将推荐文件、《推荐国家小型微型企业创业创新示范基地汇总表》（格式见附件）、《国家小型微型企业创业创新示范基地推荐表》和被推荐单位的申报材料等纸质件一式两份报送工业和信息化部（中小企业局创业创新服务处），同时请以省为单位，将全部材料电子文档刻成光盘一并报送。</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五、请各省级中小企业主管部门不要超报，超报材料一律不予受理，敬请理解。</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联系电话：</w:t>
      </w:r>
      <w:r>
        <w:rPr>
          <w:rFonts w:hint="default"/>
          <w:sz w:val="21"/>
          <w:szCs w:val="21"/>
          <w:lang w:val="en-US" w:eastAsia="zh-CN"/>
        </w:rPr>
        <w:t>010</w:t>
      </w:r>
      <w:r>
        <w:rPr>
          <w:rFonts w:hint="eastAsia"/>
          <w:sz w:val="21"/>
          <w:szCs w:val="21"/>
          <w:lang w:val="en-US" w:eastAsia="zh-CN"/>
        </w:rPr>
        <w:t>-</w:t>
      </w:r>
      <w:r>
        <w:rPr>
          <w:rFonts w:hint="default"/>
          <w:sz w:val="21"/>
          <w:szCs w:val="21"/>
          <w:lang w:val="en-US" w:eastAsia="zh-CN"/>
        </w:rPr>
        <w:t>68205301</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附件：</w:t>
      </w:r>
      <w:r>
        <w:rPr>
          <w:rFonts w:hint="eastAsia"/>
          <w:sz w:val="21"/>
          <w:szCs w:val="21"/>
          <w:lang w:val="en-US" w:eastAsia="zh-CN"/>
        </w:rPr>
        <w:fldChar w:fldCharType="begin"/>
      </w:r>
      <w:r>
        <w:rPr>
          <w:rFonts w:hint="eastAsia"/>
          <w:sz w:val="21"/>
          <w:szCs w:val="21"/>
          <w:lang w:val="en-US" w:eastAsia="zh-CN"/>
        </w:rPr>
        <w:instrText xml:space="preserve"> HYPERLINK "http://www.miit.gov.cn/n1146285/n1146352/n3054355/n3057527/n3057529/c6691297/part/6691319.doc" </w:instrText>
      </w:r>
      <w:r>
        <w:rPr>
          <w:rFonts w:hint="eastAsia"/>
          <w:sz w:val="21"/>
          <w:szCs w:val="21"/>
          <w:lang w:val="en-US" w:eastAsia="zh-CN"/>
        </w:rPr>
        <w:fldChar w:fldCharType="separate"/>
      </w:r>
      <w:r>
        <w:rPr>
          <w:rFonts w:hint="eastAsia"/>
          <w:sz w:val="21"/>
          <w:szCs w:val="21"/>
          <w:lang w:val="en-US" w:eastAsia="zh-CN"/>
        </w:rPr>
        <w:t>推荐国家小型微型企业创业创新示范基地汇总表</w:t>
      </w:r>
      <w:r>
        <w:rPr>
          <w:rFonts w:hint="eastAsia"/>
          <w:sz w:val="21"/>
          <w:szCs w:val="21"/>
          <w:lang w:val="en-US" w:eastAsia="zh-CN"/>
        </w:rPr>
        <w:fldChar w:fldCharType="end"/>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                    工业和信息化部中小企业局</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                       </w:t>
      </w:r>
      <w:r>
        <w:rPr>
          <w:rFonts w:hint="default"/>
          <w:sz w:val="21"/>
          <w:szCs w:val="21"/>
          <w:lang w:val="en-US" w:eastAsia="zh-CN"/>
        </w:rPr>
        <w:t>2019</w:t>
      </w:r>
      <w:r>
        <w:rPr>
          <w:rFonts w:hint="eastAsia"/>
          <w:sz w:val="21"/>
          <w:szCs w:val="21"/>
          <w:lang w:val="en-US" w:eastAsia="zh-CN"/>
        </w:rPr>
        <w:t>年</w:t>
      </w:r>
      <w:r>
        <w:rPr>
          <w:rFonts w:hint="default"/>
          <w:sz w:val="21"/>
          <w:szCs w:val="21"/>
          <w:lang w:val="en-US" w:eastAsia="zh-CN"/>
        </w:rPr>
        <w:t>3</w:t>
      </w:r>
      <w:r>
        <w:rPr>
          <w:rFonts w:hint="eastAsia"/>
          <w:sz w:val="21"/>
          <w:szCs w:val="21"/>
          <w:lang w:val="en-US" w:eastAsia="zh-CN"/>
        </w:rPr>
        <w:t>月</w:t>
      </w:r>
      <w:r>
        <w:rPr>
          <w:rFonts w:hint="default"/>
          <w:sz w:val="21"/>
          <w:szCs w:val="21"/>
          <w:lang w:val="en-US" w:eastAsia="zh-CN"/>
        </w:rPr>
        <w:t>22</w:t>
      </w:r>
      <w:r>
        <w:rPr>
          <w:rFonts w:hint="eastAsia"/>
          <w:sz w:val="21"/>
          <w:szCs w:val="21"/>
          <w:lang w:val="en-US" w:eastAsia="zh-CN"/>
        </w:rPr>
        <w:t>日</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p>
    <w:p>
      <w:pPr>
        <w:pStyle w:val="20"/>
        <w:spacing w:before="0" w:beforeAutospacing="0" w:after="0" w:afterAutospacing="0" w:line="360" w:lineRule="auto"/>
        <w:ind w:left="0" w:leftChars="0" w:firstLine="420" w:firstLineChars="200"/>
        <w:jc w:val="both"/>
        <w:rPr>
          <w:rFonts w:hint="eastAsia"/>
          <w:sz w:val="21"/>
          <w:szCs w:val="21"/>
          <w:lang w:val="en-US" w:eastAsia="zh-CN"/>
        </w:rPr>
      </w:pPr>
    </w:p>
    <w:p>
      <w:pPr>
        <w:pStyle w:val="20"/>
        <w:spacing w:before="0" w:beforeAutospacing="0" w:after="0" w:afterAutospacing="0" w:line="360" w:lineRule="auto"/>
        <w:ind w:left="0" w:leftChars="0" w:firstLine="420" w:firstLineChars="200"/>
        <w:jc w:val="both"/>
        <w:rPr>
          <w:rFonts w:hint="eastAsia"/>
          <w:sz w:val="21"/>
          <w:szCs w:val="21"/>
          <w:lang w:val="en-US" w:eastAsia="zh-CN"/>
        </w:rPr>
      </w:pPr>
    </w:p>
    <w:p>
      <w:pPr>
        <w:pStyle w:val="20"/>
        <w:spacing w:before="0" w:beforeAutospacing="0" w:after="0" w:afterAutospacing="0" w:line="360" w:lineRule="auto"/>
        <w:ind w:left="0" w:leftChars="0" w:firstLine="420" w:firstLineChars="200"/>
        <w:jc w:val="both"/>
        <w:rPr>
          <w:rFonts w:hint="default"/>
          <w:sz w:val="21"/>
          <w:szCs w:val="21"/>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Times New Roman"/>
          <w:b/>
          <w:bCs/>
          <w:kern w:val="2"/>
          <w:sz w:val="30"/>
          <w:szCs w:val="30"/>
          <w:lang w:val="en-US" w:eastAsia="zh-CN" w:bidi="ar-SA"/>
        </w:rPr>
      </w:pPr>
      <w:bookmarkStart w:id="107" w:name="_Toc21947"/>
      <w:r>
        <w:rPr>
          <w:rFonts w:hint="eastAsia" w:ascii="宋体" w:hAnsi="宋体" w:eastAsia="宋体" w:cs="Times New Roman"/>
          <w:b/>
          <w:bCs/>
          <w:kern w:val="2"/>
          <w:sz w:val="30"/>
          <w:szCs w:val="30"/>
          <w:lang w:val="en-US" w:eastAsia="zh-CN" w:bidi="ar-SA"/>
        </w:rPr>
        <w:t>国家发展改革委关于电网企业增值税税率调整</w:t>
      </w:r>
      <w:bookmarkEnd w:id="107"/>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Times New Roman"/>
          <w:b/>
          <w:bCs/>
          <w:kern w:val="2"/>
          <w:sz w:val="30"/>
          <w:szCs w:val="30"/>
          <w:lang w:val="en-US" w:eastAsia="zh-CN" w:bidi="ar-SA"/>
        </w:rPr>
      </w:pPr>
      <w:bookmarkStart w:id="108" w:name="_Toc5123"/>
      <w:bookmarkStart w:id="109" w:name="_Toc21528"/>
      <w:bookmarkStart w:id="110" w:name="_Toc23906"/>
      <w:bookmarkStart w:id="111" w:name="_Toc1750"/>
      <w:bookmarkStart w:id="112" w:name="_Toc17788"/>
      <w:bookmarkStart w:id="113" w:name="_Toc22581"/>
      <w:bookmarkStart w:id="114" w:name="_Toc1671"/>
      <w:bookmarkStart w:id="115" w:name="_Toc24579"/>
      <w:r>
        <w:rPr>
          <w:rFonts w:hint="eastAsia" w:ascii="宋体" w:hAnsi="宋体" w:eastAsia="宋体" w:cs="Times New Roman"/>
          <w:b/>
          <w:bCs/>
          <w:kern w:val="2"/>
          <w:sz w:val="30"/>
          <w:szCs w:val="30"/>
          <w:lang w:val="en-US" w:eastAsia="zh-CN" w:bidi="ar-SA"/>
        </w:rPr>
        <w:t>相应降低一般工商业电价的通知</w:t>
      </w:r>
      <w:bookmarkEnd w:id="108"/>
      <w:bookmarkEnd w:id="109"/>
      <w:bookmarkEnd w:id="110"/>
      <w:bookmarkEnd w:id="111"/>
      <w:bookmarkEnd w:id="112"/>
      <w:bookmarkEnd w:id="113"/>
      <w:bookmarkEnd w:id="114"/>
      <w:bookmarkEnd w:id="115"/>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Times New Roman"/>
          <w:b/>
          <w:bCs/>
          <w:kern w:val="2"/>
          <w:sz w:val="24"/>
          <w:szCs w:val="24"/>
          <w:lang w:val="en-US" w:eastAsia="zh-CN" w:bidi="ar-SA"/>
        </w:rPr>
      </w:pPr>
      <w:bookmarkStart w:id="116" w:name="_Toc13656"/>
      <w:r>
        <w:rPr>
          <w:rFonts w:hint="eastAsia" w:ascii="宋体" w:hAnsi="宋体" w:eastAsia="宋体" w:cs="Times New Roman"/>
          <w:b/>
          <w:bCs/>
          <w:kern w:val="2"/>
          <w:sz w:val="24"/>
          <w:szCs w:val="24"/>
          <w:lang w:val="en-US" w:eastAsia="zh-CN" w:bidi="ar-SA"/>
        </w:rPr>
        <w:t>发改价格〔2019〕559号</w:t>
      </w:r>
      <w:bookmarkEnd w:id="116"/>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 </w:t>
      </w:r>
    </w:p>
    <w:p>
      <w:pPr>
        <w:pStyle w:val="20"/>
        <w:spacing w:before="0" w:beforeAutospacing="0" w:after="0" w:afterAutospacing="0" w:line="360" w:lineRule="auto"/>
        <w:jc w:val="both"/>
        <w:rPr>
          <w:rFonts w:hint="eastAsia"/>
          <w:sz w:val="21"/>
          <w:szCs w:val="21"/>
          <w:lang w:val="en-US" w:eastAsia="zh-CN"/>
        </w:rPr>
      </w:pPr>
      <w:r>
        <w:rPr>
          <w:rFonts w:hint="eastAsia"/>
          <w:sz w:val="21"/>
          <w:szCs w:val="21"/>
          <w:lang w:val="en-US" w:eastAsia="zh-CN"/>
        </w:rPr>
        <w:t>各省、自治区、直辖市发展改革委（物价局），国家电网有限公司、南方电网公司、内蒙古电力（集团）有限责任公司：</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为贯彻落实《政府工作报告》关于一般工商业平均电价再降低10%的要求，现就电网企业增值税税率调整相应降低一般工商业电价有关事项通知如下。</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一、电网企业增值税税率由16%调整为13%后，省级电网企业含税输配电价水平降低的空间全部用于降低一般工商业电价，原则上自2019年4月1日起执行。</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二、各省（区、市）价格主管部门要抓紧研究提出电网企业增值税税率调整相应降低一般工商业电价的具体方案，经省级人民政府同意后实施，并报我委（价格司）备案。同时，相应降低各省（区、市）一般工商业输配电价水平。</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三、各省（区、市）价格主管部门、电网企业要精心组织、周密安排，做好宣传解释工作，确保上述降电价政策平稳实施。执行中遇到的情况和问题，请及时报送我委（价格司）。</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 </w:t>
      </w:r>
    </w:p>
    <w:p>
      <w:pPr>
        <w:pStyle w:val="20"/>
        <w:spacing w:before="0" w:beforeAutospacing="0" w:after="0" w:afterAutospacing="0" w:line="360" w:lineRule="auto"/>
        <w:ind w:left="0" w:leftChars="0" w:firstLine="420" w:firstLineChars="200"/>
        <w:jc w:val="right"/>
        <w:rPr>
          <w:rFonts w:hint="eastAsia"/>
          <w:sz w:val="21"/>
          <w:szCs w:val="21"/>
          <w:lang w:val="en-US" w:eastAsia="zh-CN"/>
        </w:rPr>
      </w:pPr>
      <w:r>
        <w:rPr>
          <w:rFonts w:hint="eastAsia"/>
          <w:sz w:val="21"/>
          <w:szCs w:val="21"/>
          <w:lang w:val="en-US" w:eastAsia="zh-CN"/>
        </w:rPr>
        <w:t>国家发展改革委</w:t>
      </w:r>
    </w:p>
    <w:p>
      <w:pPr>
        <w:pStyle w:val="20"/>
        <w:spacing w:before="0" w:beforeAutospacing="0" w:after="0" w:afterAutospacing="0" w:line="360" w:lineRule="auto"/>
        <w:ind w:left="0" w:leftChars="0" w:firstLine="420" w:firstLineChars="200"/>
        <w:jc w:val="right"/>
        <w:rPr>
          <w:rFonts w:hint="eastAsia"/>
          <w:sz w:val="21"/>
          <w:szCs w:val="21"/>
          <w:lang w:val="en-US" w:eastAsia="zh-CN"/>
        </w:rPr>
      </w:pPr>
      <w:r>
        <w:rPr>
          <w:rFonts w:hint="eastAsia"/>
          <w:sz w:val="21"/>
          <w:szCs w:val="21"/>
          <w:lang w:val="en-US" w:eastAsia="zh-CN"/>
        </w:rPr>
        <w:t>2019年3月27日</w:t>
      </w:r>
    </w:p>
    <w:p>
      <w:pPr>
        <w:pStyle w:val="20"/>
        <w:spacing w:before="0" w:beforeAutospacing="0" w:after="0" w:afterAutospacing="0" w:line="360" w:lineRule="auto"/>
        <w:ind w:left="0" w:leftChars="0" w:firstLine="420" w:firstLineChars="200"/>
        <w:jc w:val="right"/>
        <w:rPr>
          <w:rFonts w:hint="eastAsia"/>
          <w:sz w:val="21"/>
          <w:szCs w:val="21"/>
          <w:lang w:val="en-US" w:eastAsia="zh-CN"/>
        </w:rPr>
      </w:pPr>
    </w:p>
    <w:p>
      <w:pPr>
        <w:pStyle w:val="20"/>
        <w:spacing w:before="0" w:beforeAutospacing="0" w:after="0" w:afterAutospacing="0" w:line="360" w:lineRule="auto"/>
        <w:ind w:left="0" w:leftChars="0" w:firstLine="420" w:firstLineChars="200"/>
        <w:jc w:val="right"/>
        <w:rPr>
          <w:rFonts w:hint="eastAsia"/>
          <w:sz w:val="21"/>
          <w:szCs w:val="21"/>
          <w:lang w:val="en-US" w:eastAsia="zh-CN"/>
        </w:rPr>
      </w:pPr>
    </w:p>
    <w:p>
      <w:pPr>
        <w:pStyle w:val="20"/>
        <w:spacing w:before="0" w:beforeAutospacing="0" w:after="0" w:afterAutospacing="0" w:line="360" w:lineRule="auto"/>
        <w:ind w:left="0" w:leftChars="0" w:firstLine="420" w:firstLineChars="200"/>
        <w:jc w:val="right"/>
        <w:rPr>
          <w:rFonts w:hint="eastAsia"/>
          <w:sz w:val="21"/>
          <w:szCs w:val="21"/>
          <w:lang w:val="en-US" w:eastAsia="zh-CN"/>
        </w:rPr>
      </w:pPr>
    </w:p>
    <w:p>
      <w:pPr>
        <w:pStyle w:val="20"/>
        <w:spacing w:before="0" w:beforeAutospacing="0" w:after="0" w:afterAutospacing="0" w:line="360" w:lineRule="auto"/>
        <w:ind w:left="0" w:leftChars="0" w:firstLine="420" w:firstLineChars="200"/>
        <w:jc w:val="right"/>
        <w:rPr>
          <w:rFonts w:hint="eastAsia"/>
          <w:sz w:val="21"/>
          <w:szCs w:val="21"/>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Times New Roman"/>
          <w:b/>
          <w:bCs/>
          <w:kern w:val="2"/>
          <w:sz w:val="30"/>
          <w:szCs w:val="30"/>
          <w:lang w:val="en-US" w:eastAsia="zh-CN" w:bidi="ar-SA"/>
        </w:rPr>
      </w:pPr>
      <w:bookmarkStart w:id="117" w:name="_Toc6974"/>
      <w:r>
        <w:rPr>
          <w:rFonts w:hint="eastAsia" w:ascii="宋体" w:hAnsi="宋体" w:eastAsia="宋体" w:cs="Times New Roman"/>
          <w:b/>
          <w:bCs/>
          <w:kern w:val="2"/>
          <w:sz w:val="30"/>
          <w:szCs w:val="30"/>
          <w:lang w:val="en-US" w:eastAsia="zh-CN" w:bidi="ar-SA"/>
        </w:rPr>
        <w:t>工业和信息化部办公厅关于开展2019年度中小企业公共服务体系重点服务活动的通知</w:t>
      </w:r>
      <w:bookmarkEnd w:id="117"/>
    </w:p>
    <w:p>
      <w:pPr>
        <w:rPr>
          <w:rFonts w:hint="eastAsia"/>
          <w:lang w:val="en-US" w:eastAsia="zh-CN"/>
        </w:rPr>
      </w:pPr>
    </w:p>
    <w:p>
      <w:pPr>
        <w:pStyle w:val="20"/>
        <w:spacing w:before="0" w:beforeAutospacing="0" w:after="0" w:afterAutospacing="0" w:line="360" w:lineRule="auto"/>
        <w:ind w:left="0" w:leftChars="0" w:firstLine="482" w:firstLineChars="200"/>
        <w:jc w:val="center"/>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工信厅企业函〔2019〕81号</w:t>
      </w:r>
    </w:p>
    <w:p>
      <w:pPr>
        <w:pStyle w:val="20"/>
        <w:spacing w:before="0" w:beforeAutospacing="0" w:after="0" w:afterAutospacing="0" w:line="360" w:lineRule="auto"/>
        <w:ind w:left="0" w:leftChars="0" w:firstLine="482" w:firstLineChars="200"/>
        <w:jc w:val="center"/>
        <w:rPr>
          <w:rFonts w:hint="eastAsia"/>
          <w:sz w:val="21"/>
          <w:szCs w:val="21"/>
          <w:lang w:val="en-US" w:eastAsia="zh-CN"/>
        </w:rPr>
      </w:pPr>
      <w:r>
        <w:rPr>
          <w:rFonts w:hint="eastAsia" w:ascii="宋体" w:hAnsi="宋体" w:eastAsia="宋体" w:cs="Times New Roman"/>
          <w:b/>
          <w:bCs/>
          <w:color w:val="auto"/>
          <w:kern w:val="2"/>
          <w:sz w:val="24"/>
          <w:szCs w:val="24"/>
          <w:lang w:val="en-US" w:eastAsia="zh-CN" w:bidi="ar-SA"/>
        </w:rPr>
        <w:br w:type="textWrapping"/>
      </w:r>
      <w:r>
        <w:rPr>
          <w:rFonts w:hint="eastAsia"/>
          <w:sz w:val="21"/>
          <w:szCs w:val="21"/>
          <w:lang w:val="en-US" w:eastAsia="zh-CN"/>
        </w:rPr>
        <w:t>各省、自治区、直辖市及计划单列市、新疆生产建设兵团中小企业主管部门，有关单位：</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为贯彻落实中办、国办《关于促进中小企业健康发展的指导意见》，进一步提升中小企业专业化能力和水平，促进中小企业高质量发展，现就开展</w:t>
      </w:r>
      <w:r>
        <w:rPr>
          <w:rFonts w:hint="default"/>
          <w:sz w:val="21"/>
          <w:szCs w:val="21"/>
          <w:lang w:val="en-US" w:eastAsia="zh-CN"/>
        </w:rPr>
        <w:t>2019</w:t>
      </w:r>
      <w:r>
        <w:rPr>
          <w:rFonts w:hint="eastAsia"/>
          <w:sz w:val="21"/>
          <w:szCs w:val="21"/>
          <w:lang w:val="en-US" w:eastAsia="zh-CN"/>
        </w:rPr>
        <w:t>年中小企业公共服务体系重点服务活动通知如下：</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一、重点服务活动</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一）政策宣贯服务。深入宣传贯彻《中小企业促进法》和《关于促进中小企业健康发展的指导意见》，广泛宣传直接关系中小企业权益的财税、减负、社保、产权保护等政策法规。结合联合国“中小微企业日”、全国“双创”活动周等重要时间节点，举办政策解读和宣讲活动。有效发挥中小企业政策信息互联网发布平台作用，加强资源整合和服务对接，提高政策知晓度，增强政策获得感。</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二）创业创新服务。开展中小企业“上云”等中小企业信息化服务。引导和支持绿色制造、智能制造、工业互联网领域系统解决方案供应商，加大对中小企业的技改服务力度。开展质量改进与提升服务，增强中小企业质量品牌创新升级能力。组织参加“创客中国”中小企业创新创业大赛，开展项目落地跟踪、投融资对接和成果转化等服务。组织开展创业大讲堂、创业辅导师培训等创业培训和辅导活动，为创业者提供登记注册、成果转化、市场营销等服务，营造良好创业环境。</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三）大中小企业融通发展服务。汇集大企业和中小企业的供需信息，开展线上线下大中小企业融通发展对接服务，搭建中小企业与大企业合作渠道。集聚带动大企业协同创新服务平台，面向中小企业提供设备共享、技术攻关、营销推广、供应链金融等服务。</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四）专精特新“小巨人”培育服务。建立专精特新“小巨人”企业培育库，围绕各级培育的“专精特新”中小企业和“小巨人”企业，开展惠赠“小巨人”企业服务活动，重点提供行业前沿信息、技术创新支持、品牌宣传推广、上市培训辅导、知识产权保护等服务，并广泛宣传企业典型经验，发挥“小巨人”企业的示范带动作用。</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五）管理提升服务。对接开展中小企业经营管理领军人才培训，推进实施国家中小企业银河培训工程。组织中小企业管理咨询专家为中小企业提供发展战略、人力资源、市场营销等咨询诊断服务，引导帮助中小企业建立现代企业制度。 </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六）融资服务。积极拓宽融资渠道，加强融资对接，广泛动员各类金融机构开展普惠金融服务。发挥担保增信分险作用，扩大小微企业低收费信用担保业务规模。继续开展“小微企业应收账款融资专项行动”和“小微企业金融知识普及教育活动”，进一步改善融资环境。</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七）对外合作服务。继续开展支持中小企业参与“一带一路”建设专项行动，组织参加中国国际中小企业博览会、中德政府合作培训项目等国际交流活动。进一步发挥中外中小企业合作区载体示范作用，为中小企业“走出去”和“引进来”提供专业化服务，提高中小企业发展水平。</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二、工作要求</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（一）加强组织领导。各地要加强对服务体系建设的组织领导，加大资金支持力度，结合本地实际制定具体实施方案，细化工作措施，明确责任分工，因地制宜开展特色服务活动。</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二）强化体系建设。充分发挥中小企业公共服务平台网络的骨干架构作用，发挥中小企业公共服务示范平台、小型微型企业创业创新示范基地的示范带动作用，加强大中小企业融通型、专业资本集聚型等特色载体和双创示范基地双创支撑平台能力建设，广泛动员社会化中小企业服务机构，为中小企业健康发展提供有力支撑。</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三）创新服务模式。利用云计算、大数据等新一代信息技术创新服务模式，通过服务券、购买服务等方式调动各类服务机构的积极性，推动提升服务质量和水平，为中小企业提供更多精准快捷、物美价廉的服务产品。</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（四）及时督促指导。各地要加强对各级各类服务机构的督促指导，分阶段明确工作重点和任务，狠抓服务落地。要及时总结并推广可复制的成功案例和有效做法，推动各级服务机构不断提升服务实效。</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三、其他事项</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请于</w:t>
      </w:r>
      <w:r>
        <w:rPr>
          <w:rFonts w:hint="default"/>
          <w:sz w:val="21"/>
          <w:szCs w:val="21"/>
          <w:lang w:val="en-US" w:eastAsia="zh-CN"/>
        </w:rPr>
        <w:t>2020</w:t>
      </w:r>
      <w:r>
        <w:rPr>
          <w:rFonts w:hint="eastAsia"/>
          <w:sz w:val="21"/>
          <w:szCs w:val="21"/>
          <w:lang w:val="en-US" w:eastAsia="zh-CN"/>
        </w:rPr>
        <w:t>年</w:t>
      </w:r>
      <w:r>
        <w:rPr>
          <w:rFonts w:hint="default"/>
          <w:sz w:val="21"/>
          <w:szCs w:val="21"/>
          <w:lang w:val="en-US" w:eastAsia="zh-CN"/>
        </w:rPr>
        <w:t>1</w:t>
      </w:r>
      <w:r>
        <w:rPr>
          <w:rFonts w:hint="eastAsia"/>
          <w:sz w:val="21"/>
          <w:szCs w:val="21"/>
          <w:lang w:val="en-US" w:eastAsia="zh-CN"/>
        </w:rPr>
        <w:t>月</w:t>
      </w:r>
      <w:r>
        <w:rPr>
          <w:rFonts w:hint="default"/>
          <w:sz w:val="21"/>
          <w:szCs w:val="21"/>
          <w:lang w:val="en-US" w:eastAsia="zh-CN"/>
        </w:rPr>
        <w:t>20</w:t>
      </w:r>
      <w:r>
        <w:rPr>
          <w:rFonts w:hint="eastAsia"/>
          <w:sz w:val="21"/>
          <w:szCs w:val="21"/>
          <w:lang w:val="en-US" w:eastAsia="zh-CN"/>
        </w:rPr>
        <w:t>日前将工作总结、重点服务活动实施情况统计表（见附件），以及每项活动的服务典型案例和企业获益典型案例各</w:t>
      </w:r>
      <w:r>
        <w:rPr>
          <w:rFonts w:hint="default"/>
          <w:sz w:val="21"/>
          <w:szCs w:val="21"/>
          <w:lang w:val="en-US" w:eastAsia="zh-CN"/>
        </w:rPr>
        <w:t>1</w:t>
      </w:r>
      <w:r>
        <w:rPr>
          <w:rFonts w:hint="eastAsia"/>
          <w:sz w:val="21"/>
          <w:szCs w:val="21"/>
          <w:lang w:val="en-US" w:eastAsia="zh-CN"/>
        </w:rPr>
        <w:t>例纸质材料及电子版报送我部（中小企业局）。</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电子邮箱：</w:t>
      </w:r>
      <w:r>
        <w:rPr>
          <w:rFonts w:hint="eastAsia"/>
          <w:sz w:val="21"/>
          <w:szCs w:val="21"/>
          <w:lang w:val="en-US" w:eastAsia="zh-CN"/>
        </w:rPr>
        <w:fldChar w:fldCharType="begin"/>
      </w:r>
      <w:r>
        <w:rPr>
          <w:rFonts w:hint="eastAsia"/>
          <w:sz w:val="21"/>
          <w:szCs w:val="21"/>
          <w:lang w:val="en-US" w:eastAsia="zh-CN"/>
        </w:rPr>
        <w:instrText xml:space="preserve"> HYPERLINK "mailto:cxfwc@miit.gov.cn" </w:instrText>
      </w:r>
      <w:r>
        <w:rPr>
          <w:rFonts w:hint="eastAsia"/>
          <w:sz w:val="21"/>
          <w:szCs w:val="21"/>
          <w:lang w:val="en-US" w:eastAsia="zh-CN"/>
        </w:rPr>
        <w:fldChar w:fldCharType="separate"/>
      </w:r>
      <w:r>
        <w:rPr>
          <w:rFonts w:hint="eastAsia"/>
          <w:sz w:val="21"/>
          <w:szCs w:val="21"/>
          <w:lang w:val="en-US" w:eastAsia="zh-CN"/>
        </w:rPr>
        <w:t>cxfwc@</w:t>
      </w:r>
      <w:r>
        <w:rPr>
          <w:rFonts w:hint="eastAsia"/>
          <w:sz w:val="21"/>
          <w:szCs w:val="21"/>
          <w:lang w:val="en-US" w:eastAsia="zh-CN"/>
        </w:rPr>
        <w:fldChar w:fldCharType="end"/>
      </w:r>
      <w:r>
        <w:rPr>
          <w:rFonts w:hint="eastAsia"/>
          <w:sz w:val="21"/>
          <w:szCs w:val="21"/>
          <w:lang w:val="en-US" w:eastAsia="zh-CN"/>
        </w:rPr>
        <w:t>miit.gov.cn</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default"/>
          <w:sz w:val="21"/>
          <w:szCs w:val="21"/>
          <w:lang w:val="en-US" w:eastAsia="zh-CN"/>
        </w:rPr>
        <w:t>　　</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附件：</w:t>
      </w:r>
      <w:r>
        <w:rPr>
          <w:rFonts w:hint="eastAsia"/>
          <w:sz w:val="21"/>
          <w:szCs w:val="21"/>
          <w:lang w:val="en-US" w:eastAsia="zh-CN"/>
        </w:rPr>
        <w:fldChar w:fldCharType="begin"/>
      </w:r>
      <w:r>
        <w:rPr>
          <w:rFonts w:hint="eastAsia"/>
          <w:sz w:val="21"/>
          <w:szCs w:val="21"/>
          <w:lang w:val="en-US" w:eastAsia="zh-CN"/>
        </w:rPr>
        <w:instrText xml:space="preserve"> HYPERLINK "http://www.miit.gov.cn/n1146285/n1146352/n3054355/n3057527/n3057529/c6786781/part/6786796.xlsx" </w:instrText>
      </w:r>
      <w:r>
        <w:rPr>
          <w:rFonts w:hint="eastAsia"/>
          <w:sz w:val="21"/>
          <w:szCs w:val="21"/>
          <w:lang w:val="en-US" w:eastAsia="zh-CN"/>
        </w:rPr>
        <w:fldChar w:fldCharType="separate"/>
      </w:r>
      <w:r>
        <w:rPr>
          <w:rFonts w:hint="eastAsia"/>
          <w:sz w:val="21"/>
          <w:szCs w:val="21"/>
          <w:lang w:val="en-US" w:eastAsia="zh-CN"/>
        </w:rPr>
        <w:t>重点服务活动实施情况统计表</w:t>
      </w:r>
      <w:r>
        <w:rPr>
          <w:rFonts w:hint="eastAsia"/>
          <w:sz w:val="21"/>
          <w:szCs w:val="21"/>
          <w:lang w:val="en-US" w:eastAsia="zh-CN"/>
        </w:rPr>
        <w:fldChar w:fldCharType="end"/>
      </w:r>
      <w:r>
        <w:rPr>
          <w:rFonts w:hint="default"/>
          <w:sz w:val="21"/>
          <w:szCs w:val="21"/>
          <w:lang w:val="en-US" w:eastAsia="zh-CN"/>
        </w:rPr>
        <w:t>　</w:t>
      </w:r>
    </w:p>
    <w:p>
      <w:pPr>
        <w:pStyle w:val="20"/>
        <w:spacing w:before="0" w:beforeAutospacing="0" w:after="0" w:afterAutospacing="0" w:line="360" w:lineRule="auto"/>
        <w:ind w:left="0" w:leftChars="0" w:firstLine="420" w:firstLineChars="200"/>
        <w:jc w:val="right"/>
        <w:rPr>
          <w:rFonts w:hint="eastAsia"/>
          <w:sz w:val="21"/>
          <w:szCs w:val="21"/>
          <w:lang w:val="en-US" w:eastAsia="zh-CN"/>
        </w:rPr>
      </w:pPr>
    </w:p>
    <w:p>
      <w:pPr>
        <w:pStyle w:val="20"/>
        <w:spacing w:before="0" w:beforeAutospacing="0" w:after="0" w:afterAutospacing="0" w:line="360" w:lineRule="auto"/>
        <w:ind w:left="0" w:leftChars="0" w:firstLine="420" w:firstLineChars="200"/>
        <w:jc w:val="right"/>
        <w:rPr>
          <w:rFonts w:hint="eastAsia"/>
          <w:sz w:val="21"/>
          <w:szCs w:val="21"/>
          <w:lang w:val="en-US" w:eastAsia="zh-CN"/>
        </w:rPr>
      </w:pPr>
    </w:p>
    <w:p>
      <w:pPr>
        <w:pStyle w:val="20"/>
        <w:spacing w:before="0" w:beforeAutospacing="0" w:after="0" w:afterAutospacing="0" w:line="360" w:lineRule="auto"/>
        <w:ind w:left="0" w:leftChars="0" w:firstLine="420" w:firstLineChars="200"/>
        <w:jc w:val="right"/>
        <w:rPr>
          <w:rFonts w:hint="eastAsia"/>
          <w:sz w:val="21"/>
          <w:szCs w:val="21"/>
          <w:lang w:val="en-US" w:eastAsia="zh-CN"/>
        </w:rPr>
      </w:pPr>
    </w:p>
    <w:p>
      <w:pPr>
        <w:pStyle w:val="20"/>
        <w:spacing w:before="0" w:beforeAutospacing="0" w:after="0" w:afterAutospacing="0" w:line="360" w:lineRule="auto"/>
        <w:ind w:left="0" w:leftChars="0" w:firstLine="420" w:firstLineChars="200"/>
        <w:jc w:val="right"/>
        <w:rPr>
          <w:rFonts w:hint="eastAsia"/>
          <w:sz w:val="21"/>
          <w:szCs w:val="21"/>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Times New Roman"/>
          <w:b/>
          <w:bCs/>
          <w:kern w:val="2"/>
          <w:sz w:val="30"/>
          <w:szCs w:val="30"/>
          <w:lang w:val="en-US" w:eastAsia="zh-CN" w:bidi="ar-SA"/>
        </w:rPr>
      </w:pPr>
      <w:bookmarkStart w:id="118" w:name="_Toc12425"/>
      <w:r>
        <w:rPr>
          <w:rFonts w:hint="eastAsia" w:ascii="宋体" w:hAnsi="宋体" w:eastAsia="宋体" w:cs="Times New Roman"/>
          <w:b/>
          <w:bCs/>
          <w:kern w:val="2"/>
          <w:sz w:val="30"/>
          <w:szCs w:val="30"/>
          <w:lang w:val="en-US" w:eastAsia="zh-CN" w:bidi="ar-SA"/>
        </w:rPr>
        <w:t>关于开展中小企业促进法执法检查调查问卷的通知</w:t>
      </w:r>
      <w:bookmarkEnd w:id="118"/>
    </w:p>
    <w:p>
      <w:pPr>
        <w:pStyle w:val="20"/>
        <w:spacing w:before="0" w:beforeAutospacing="0" w:after="0" w:afterAutospacing="0" w:line="360" w:lineRule="auto"/>
        <w:ind w:left="0" w:leftChars="0" w:firstLine="482" w:firstLineChars="200"/>
        <w:jc w:val="center"/>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  工企业函〔2019〕206号</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p>
    <w:p>
      <w:pPr>
        <w:pStyle w:val="20"/>
        <w:spacing w:before="0" w:beforeAutospacing="0" w:after="0" w:afterAutospacing="0" w:line="360" w:lineRule="auto"/>
        <w:ind w:left="0" w:leftChars="0" w:firstLine="0" w:firstLineChars="0"/>
        <w:jc w:val="both"/>
        <w:rPr>
          <w:rFonts w:hint="eastAsia"/>
          <w:sz w:val="21"/>
          <w:szCs w:val="21"/>
          <w:lang w:val="en-US" w:eastAsia="zh-CN"/>
        </w:rPr>
      </w:pPr>
      <w:r>
        <w:rPr>
          <w:rFonts w:hint="eastAsia"/>
          <w:sz w:val="21"/>
          <w:szCs w:val="21"/>
          <w:lang w:val="en-US" w:eastAsia="zh-CN"/>
        </w:rPr>
        <w:t>各省、自治区、直辖市及计划单列市、新疆生产建设兵团中小企业主管部门：</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根据全国人大常委会中小企业促进法执法检查方案安排，请各地充分发挥促进中小企业发展工作领导机制作用，协调多方力量，积极组织本地中小企业在线填写问卷，全力配合全国人大常委会执法检查相关工作。有关事项通知如下：</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一、调查内容</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包括中小企业营商环境、获得融资、税费减免、维权渠道利用等情况。（详见附件2）</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二、调查方式</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请各地中小企业主管部门组织中小企业在线填写《中小企业促进法执法检查调查问卷》，通过互联网访问https://www.wjx.cn/jq/37624833.aspx或手机扫描二维码（见附件1），并于2019年4月30日前完成在线提交。</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 </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联系人：</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工业和信息化部中小企业局  张  洁  010-68205303</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技术支持                 冷  哲  010-68200570</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 </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附件：1.手机扫描二维码</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   2.</w:t>
      </w:r>
      <w:r>
        <w:rPr>
          <w:rFonts w:hint="eastAsia"/>
          <w:sz w:val="21"/>
          <w:szCs w:val="21"/>
          <w:lang w:val="en-US" w:eastAsia="zh-CN"/>
        </w:rPr>
        <w:fldChar w:fldCharType="begin"/>
      </w:r>
      <w:r>
        <w:rPr>
          <w:rFonts w:hint="eastAsia"/>
          <w:sz w:val="21"/>
          <w:szCs w:val="21"/>
          <w:lang w:val="en-US" w:eastAsia="zh-CN"/>
        </w:rPr>
        <w:instrText xml:space="preserve"> HYPERLINK "http://www.miit.gov.cn/manageweb/edit.content.StreamOutPartsAction.action?contentId=6788973&amp;partId=6788980" \t "http://www.miit.gov.cn/n1146285/n1146352/n3054355/n3057527/n3057529/c6789006/_blank" </w:instrText>
      </w:r>
      <w:r>
        <w:rPr>
          <w:rFonts w:hint="eastAsia"/>
          <w:sz w:val="21"/>
          <w:szCs w:val="21"/>
          <w:lang w:val="en-US" w:eastAsia="zh-CN"/>
        </w:rPr>
        <w:fldChar w:fldCharType="separate"/>
      </w:r>
      <w:r>
        <w:rPr>
          <w:rFonts w:hint="eastAsia"/>
          <w:sz w:val="21"/>
          <w:szCs w:val="21"/>
          <w:lang w:val="en-US" w:eastAsia="zh-CN"/>
        </w:rPr>
        <w:t>中小企业促进法执法检查调查问卷</w:t>
      </w:r>
      <w:r>
        <w:rPr>
          <w:rFonts w:hint="eastAsia"/>
          <w:sz w:val="21"/>
          <w:szCs w:val="21"/>
          <w:lang w:val="en-US" w:eastAsia="zh-CN"/>
        </w:rPr>
        <w:fldChar w:fldCharType="end"/>
      </w:r>
      <w:r>
        <w:rPr>
          <w:rFonts w:hint="eastAsia"/>
          <w:sz w:val="21"/>
          <w:szCs w:val="21"/>
          <w:lang w:val="en-US" w:eastAsia="zh-CN"/>
        </w:rPr>
        <w:t>  </w:t>
      </w:r>
    </w:p>
    <w:p>
      <w:pPr>
        <w:pStyle w:val="20"/>
        <w:spacing w:before="0" w:beforeAutospacing="0" w:after="0" w:afterAutospacing="0" w:line="360" w:lineRule="auto"/>
        <w:ind w:left="0" w:leftChars="0" w:firstLine="420" w:firstLineChars="200"/>
        <w:jc w:val="right"/>
        <w:rPr>
          <w:rFonts w:hint="eastAsia"/>
          <w:sz w:val="21"/>
          <w:szCs w:val="21"/>
          <w:lang w:val="en-US" w:eastAsia="zh-CN"/>
        </w:rPr>
      </w:pPr>
      <w:r>
        <w:rPr>
          <w:rFonts w:hint="eastAsia"/>
          <w:sz w:val="21"/>
          <w:szCs w:val="21"/>
          <w:lang w:val="en-US" w:eastAsia="zh-CN"/>
        </w:rPr>
        <w:t>工业和信息化部中小企业局</w:t>
      </w:r>
    </w:p>
    <w:p>
      <w:pPr>
        <w:pStyle w:val="20"/>
        <w:spacing w:before="0" w:beforeAutospacing="0" w:after="0" w:afterAutospacing="0" w:line="360" w:lineRule="auto"/>
        <w:ind w:left="0" w:leftChars="0" w:firstLine="420" w:firstLineChars="200"/>
        <w:jc w:val="right"/>
        <w:rPr>
          <w:rFonts w:hint="eastAsia"/>
          <w:sz w:val="21"/>
          <w:szCs w:val="21"/>
          <w:lang w:val="en-US" w:eastAsia="zh-CN"/>
        </w:rPr>
      </w:pPr>
      <w:r>
        <w:rPr>
          <w:rFonts w:hint="eastAsia"/>
          <w:sz w:val="21"/>
          <w:szCs w:val="21"/>
          <w:lang w:val="en-US" w:eastAsia="zh-CN"/>
        </w:rPr>
        <w:t>2019年4月12日</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p>
    <w:p>
      <w:pPr>
        <w:pStyle w:val="20"/>
        <w:spacing w:before="0" w:beforeAutospacing="0" w:after="0" w:afterAutospacing="0" w:line="360" w:lineRule="auto"/>
        <w:ind w:left="0" w:leftChars="0" w:firstLine="420" w:firstLineChars="200"/>
        <w:jc w:val="both"/>
        <w:rPr>
          <w:rFonts w:hint="default"/>
          <w:sz w:val="21"/>
          <w:szCs w:val="21"/>
          <w:lang w:val="en-US" w:eastAsia="zh-CN"/>
        </w:rPr>
      </w:pPr>
    </w:p>
    <w:p>
      <w:pPr>
        <w:pStyle w:val="20"/>
        <w:spacing w:before="0" w:beforeAutospacing="0" w:after="0" w:afterAutospacing="0" w:line="360" w:lineRule="auto"/>
        <w:ind w:left="0" w:leftChars="0" w:firstLine="420" w:firstLineChars="200"/>
        <w:jc w:val="both"/>
        <w:rPr>
          <w:rFonts w:hint="default"/>
          <w:sz w:val="21"/>
          <w:szCs w:val="21"/>
          <w:lang w:val="en-US" w:eastAsia="zh-CN"/>
        </w:rPr>
      </w:pPr>
    </w:p>
    <w:p>
      <w:pPr>
        <w:pStyle w:val="20"/>
        <w:spacing w:before="0" w:beforeAutospacing="0" w:after="0" w:afterAutospacing="0" w:line="360" w:lineRule="auto"/>
        <w:ind w:left="0" w:leftChars="0" w:firstLine="420" w:firstLineChars="200"/>
        <w:jc w:val="both"/>
        <w:rPr>
          <w:rFonts w:hint="default"/>
          <w:sz w:val="21"/>
          <w:szCs w:val="21"/>
          <w:lang w:val="en-US" w:eastAsia="zh-CN"/>
        </w:rPr>
      </w:pPr>
    </w:p>
    <w:p>
      <w:pPr>
        <w:pStyle w:val="20"/>
        <w:spacing w:before="0" w:beforeAutospacing="0" w:after="0" w:afterAutospacing="0" w:line="360" w:lineRule="auto"/>
        <w:ind w:left="0" w:leftChars="0" w:firstLine="420" w:firstLineChars="200"/>
        <w:jc w:val="both"/>
        <w:rPr>
          <w:rFonts w:hint="default"/>
          <w:sz w:val="21"/>
          <w:szCs w:val="21"/>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17" w:lineRule="atLeast"/>
        <w:jc w:val="center"/>
        <w:outlineLvl w:val="1"/>
        <w:rPr>
          <w:rFonts w:hint="eastAsia" w:ascii="宋体" w:hAnsi="宋体" w:eastAsia="宋体" w:cs="宋体"/>
          <w:b/>
          <w:color w:val="auto"/>
          <w:sz w:val="30"/>
          <w:szCs w:val="30"/>
          <w:u w:val="none"/>
        </w:rPr>
      </w:pPr>
      <w:bookmarkStart w:id="119" w:name="_Toc29089"/>
      <w:r>
        <w:rPr>
          <w:rFonts w:hint="eastAsia" w:ascii="宋体" w:hAnsi="宋体" w:eastAsia="宋体" w:cs="宋体"/>
          <w:b/>
          <w:color w:val="auto"/>
          <w:kern w:val="0"/>
          <w:sz w:val="30"/>
          <w:szCs w:val="30"/>
          <w:u w:val="none"/>
          <w:lang w:val="en-US" w:eastAsia="zh-CN" w:bidi="ar"/>
        </w:rPr>
        <w:t>国家发展改革委 科技部关于构建市场导向的绿色技术创新体系的指导意见</w:t>
      </w:r>
      <w:bookmarkEnd w:id="119"/>
    </w:p>
    <w:p>
      <w:pPr>
        <w:pStyle w:val="20"/>
        <w:keepNext w:val="0"/>
        <w:keepLines w:val="0"/>
        <w:widowControl/>
        <w:suppressLineNumbers w:val="0"/>
        <w:spacing w:line="17" w:lineRule="atLeast"/>
        <w:jc w:val="center"/>
        <w:outlineLvl w:val="1"/>
        <w:rPr>
          <w:b/>
          <w:bCs/>
          <w:sz w:val="24"/>
          <w:szCs w:val="24"/>
        </w:rPr>
      </w:pPr>
      <w:bookmarkStart w:id="120" w:name="_Toc21840"/>
      <w:r>
        <w:rPr>
          <w:rFonts w:hint="eastAsia" w:ascii="宋体" w:hAnsi="宋体" w:eastAsia="宋体" w:cs="宋体"/>
          <w:b/>
          <w:bCs/>
          <w:color w:val="333333"/>
          <w:sz w:val="24"/>
          <w:szCs w:val="24"/>
          <w:u w:val="none"/>
        </w:rPr>
        <w:t>发改环资﹝2019﹞689号</w:t>
      </w:r>
      <w:bookmarkEnd w:id="120"/>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left"/>
        <w:textAlignment w:val="auto"/>
        <w:rPr>
          <w:sz w:val="21"/>
          <w:szCs w:val="21"/>
        </w:rPr>
      </w:pPr>
      <w:r>
        <w:rPr>
          <w:rFonts w:hint="eastAsia" w:ascii="宋体" w:hAnsi="宋体" w:eastAsia="宋体" w:cs="宋体"/>
          <w:color w:val="333333"/>
          <w:sz w:val="21"/>
          <w:szCs w:val="21"/>
          <w:u w:val="none"/>
        </w:rPr>
        <w:t>教育部、工业和信息化部、财政部、人力资源社会保障部、自然资源部、生态环境部、住房城乡建设部、水利部、农业农村部、商务部、中国人民银行、国务院国资委、税务总局、市场监管总局、中国银保监会、中国证监会、国家能源局、国家林草局、国家知识产权局，各省、自治区、直辖市发展改革委、科技厅（委、局）：</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left"/>
        <w:textAlignment w:val="auto"/>
        <w:rPr>
          <w:sz w:val="21"/>
          <w:szCs w:val="21"/>
        </w:rPr>
      </w:pPr>
      <w:r>
        <w:rPr>
          <w:rFonts w:hint="eastAsia" w:ascii="宋体" w:hAnsi="宋体" w:eastAsia="宋体" w:cs="宋体"/>
          <w:color w:val="333333"/>
          <w:sz w:val="21"/>
          <w:szCs w:val="21"/>
          <w:u w:val="none"/>
        </w:rPr>
        <w:t>    绿色技术是指降低消耗、减少污染、改善生态，促进生态文明建设、实现人与自然和谐共生的新兴技术，包括节能环保、清洁生产、清洁能源、生态保护与修复、城乡绿色基础设施、生态农业等领域，涵盖产品设计、生产、消费、回收利用等环节的技术。绿色技术创新正成为全球新一轮工业革命和科技竞争的重要新兴领域。伴随我国绿色低碳循环发展经济体系的建立健全，绿色技术创新日益成为绿色发展的重要动力，成为打好污染防治攻坚战、推进生态文明建设、推动高质量发展的重要支撑。为强化科技创新引领，加快推进生态文明建设，推动高质量发展，现对构建市场导向的绿色技术创新体系提出以下意见。</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w:t>
      </w:r>
      <w:r>
        <w:rPr>
          <w:rStyle w:val="24"/>
          <w:rFonts w:hint="eastAsia" w:ascii="宋体" w:hAnsi="宋体" w:eastAsia="宋体" w:cs="宋体"/>
          <w:color w:val="333333"/>
          <w:sz w:val="21"/>
          <w:szCs w:val="21"/>
          <w:u w:val="none"/>
        </w:rPr>
        <w:t>　一、总体要求</w:t>
      </w:r>
      <w:r>
        <w:rPr>
          <w:rStyle w:val="24"/>
          <w:rFonts w:hint="eastAsia" w:ascii="宋体" w:hAnsi="宋体" w:eastAsia="宋体" w:cs="宋体"/>
          <w:color w:val="333333"/>
          <w:sz w:val="21"/>
          <w:szCs w:val="21"/>
          <w:u w:val="none"/>
        </w:rPr>
        <w:br w:type="textWrapping"/>
      </w:r>
      <w:r>
        <w:rPr>
          <w:rStyle w:val="24"/>
          <w:rFonts w:hint="eastAsia" w:ascii="宋体" w:hAnsi="宋体" w:eastAsia="宋体" w:cs="宋体"/>
          <w:color w:val="333333"/>
          <w:sz w:val="21"/>
          <w:szCs w:val="21"/>
          <w:u w:val="none"/>
        </w:rPr>
        <w:t>　　（一）总体思路。</w:t>
      </w:r>
      <w:r>
        <w:rPr>
          <w:rStyle w:val="24"/>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以习近平新时代中国特色社会主义思想为指导，全面贯彻党的十九大和十九届二中、三中全会精神，认真落实党中央、国务院决策部署，坚持节约资源和保护环境的基本国策，围绕生态文明建设，以解决资源环境生态突出问题为目标，以激发绿色技术市场需求为突破口，以壮大创新主体、增强创新活力为核心，以优化创新环境为着力点，强化产品全生命周期绿色管理，加快构建企业为主体、产学研深度融合、基础设施和服务体系完备、资源配置高效、成果转化顺畅的绿色技术创新体系，形成研究开发、应用推广、产业发展贯通融合的绿色技术创新新局面。</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w:t>
      </w:r>
      <w:r>
        <w:rPr>
          <w:rStyle w:val="24"/>
          <w:rFonts w:hint="eastAsia" w:ascii="宋体" w:hAnsi="宋体" w:eastAsia="宋体" w:cs="宋体"/>
          <w:color w:val="333333"/>
          <w:sz w:val="21"/>
          <w:szCs w:val="21"/>
          <w:u w:val="none"/>
        </w:rPr>
        <w:t>（二）基本原则。</w:t>
      </w:r>
      <w:r>
        <w:rPr>
          <w:rStyle w:val="24"/>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坚持绿色理念。贯彻人与自然和谐共生的理念，通过建立绿色技术标准体系、产品全生命周期管理、绿色金融等措施，塑造绿色技术创新环境，汇聚社会各方力量，着力于降低消耗、减少污染和改善生态技术供给和产业化，为经济社会向绿色发展方式和生活方式转变提供基本动力。</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坚持市场导向。尊重和把握绿色技术创新的市场规律，充分发挥市场在绿色技术创新领域、技术路线选择及创新资源配置中的决定性作用。充分发挥企业在绿色技术研发、成果转化、示范应用和产业化中主体作用，培育发展一批绿色技术创新龙头企业。发挥企业的带动作用，推进“产学研金介”深度融合、协同创新。</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坚持完善机制。加快生态文明体制改革，推动环境治理从末端应对向全生命周期管理转变。加快科技体制改革，创新政府对绿色技术创新的管理方式，通过进一步强化服务、完善体制机制，提高绿色技术创新的回报率，激发创新活力，促进成果转化应用。</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坚持开放合作。以国际视野谋划绿色技术创新，积极参与全球环境治理，加强绿色技术创新国际交流合作。加大绿色技术创新对外开放，积极引进、消化、吸收国际先进绿色技术，促进国内企业“走出去”，全面提升我国绿色技术创新对外开放格局和地位。</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w:t>
      </w:r>
      <w:r>
        <w:rPr>
          <w:rStyle w:val="24"/>
          <w:rFonts w:hint="eastAsia" w:ascii="宋体" w:hAnsi="宋体" w:eastAsia="宋体" w:cs="宋体"/>
          <w:color w:val="333333"/>
          <w:sz w:val="21"/>
          <w:szCs w:val="21"/>
          <w:u w:val="none"/>
        </w:rPr>
        <w:t>　（三）主要目标。</w:t>
      </w:r>
      <w:r>
        <w:rPr>
          <w:rStyle w:val="24"/>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到2022年，基本建成市场导向的绿色技术创新体系。企业绿色技术创新主体地位得到强化，出现一批龙头骨干企业，“产学研金介”深度融合、协同高效；绿色技术创新引导机制更加完善，绿色技术市场繁荣，人才、资金、知识等各类要素资源向绿色技术创新领域有效集聚，高效利用，要素价值得到充分体现；绿色技术创新综合示范区、绿色技术工程研究中心、创新中心等形成系统布局，高效运行，创新成果不断涌现并充分转化应用；绿色技术创新的法治、政策、融资环境充分优化，国际合作务实深入，创新基础能力显著增强。</w:t>
      </w:r>
      <w:r>
        <w:rPr>
          <w:rFonts w:hint="eastAsia" w:ascii="宋体" w:hAnsi="宋体" w:eastAsia="宋体" w:cs="宋体"/>
          <w:color w:val="333333"/>
          <w:sz w:val="21"/>
          <w:szCs w:val="21"/>
          <w:u w:val="none"/>
        </w:rPr>
        <w:br w:type="textWrapping"/>
      </w:r>
      <w:r>
        <w:rPr>
          <w:rStyle w:val="24"/>
          <w:rFonts w:hint="eastAsia" w:ascii="宋体" w:hAnsi="宋体" w:eastAsia="宋体" w:cs="宋体"/>
          <w:color w:val="333333"/>
          <w:sz w:val="21"/>
          <w:szCs w:val="21"/>
          <w:u w:val="none"/>
        </w:rPr>
        <w:t>　　二、培育壮大绿色技术创新主体</w:t>
      </w:r>
      <w:r>
        <w:rPr>
          <w:rStyle w:val="24"/>
          <w:rFonts w:hint="eastAsia" w:ascii="宋体" w:hAnsi="宋体" w:eastAsia="宋体" w:cs="宋体"/>
          <w:color w:val="333333"/>
          <w:sz w:val="21"/>
          <w:szCs w:val="21"/>
          <w:u w:val="none"/>
        </w:rPr>
        <w:br w:type="textWrapping"/>
      </w:r>
      <w:r>
        <w:rPr>
          <w:rStyle w:val="24"/>
          <w:rFonts w:hint="eastAsia" w:ascii="宋体" w:hAnsi="宋体" w:eastAsia="宋体" w:cs="宋体"/>
          <w:color w:val="333333"/>
          <w:sz w:val="21"/>
          <w:szCs w:val="21"/>
          <w:u w:val="none"/>
        </w:rPr>
        <w:t>　　（四）强化企业的绿色技术创新主体地位。</w:t>
      </w:r>
      <w:r>
        <w:rPr>
          <w:rStyle w:val="24"/>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研究制定绿色技术创新企业认定标准规范，开展绿色技术创新企业认定。开展绿色技术创新“十百千”行动，培育10个年产值超过500亿元的绿色技术创新龙头企业，支持100家企业创建国家绿色企业技术中心，认定1000家绿色技术创新企业。积极支持“十百千”企业承担国家和地方部署的重点绿色技术创新项目。研究制定支持经认定的绿色技术创新企业的政策措施。</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加大对企业绿色技术创新的支持力度，财政资金支持的非基础性绿色技术研发项目、市场导向明确的绿色技术创新项目都必须要有企业参与，国家重大科技专项、国家重点研发计划支持的绿色技术研发项目由企业牵头承担的比例不少于55%。（科技部、国家发展改革委按职责分工负责）</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w:t>
      </w:r>
      <w:r>
        <w:rPr>
          <w:rStyle w:val="24"/>
          <w:rFonts w:hint="eastAsia" w:ascii="宋体" w:hAnsi="宋体" w:eastAsia="宋体" w:cs="宋体"/>
          <w:color w:val="333333"/>
          <w:sz w:val="21"/>
          <w:szCs w:val="21"/>
          <w:u w:val="none"/>
        </w:rPr>
        <w:t>（五）激发高校、科研院所绿色技术创新活力。</w:t>
      </w:r>
      <w:r>
        <w:rPr>
          <w:rStyle w:val="24"/>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健全科研人员评价激励机制，增加绿色技术创新科技成果转化数量、质量、经济效益在绩效考核评优、科研考核加分和职称评定晋级中的比重。允许绿色技术发明人或研发团队以持有股权、分红等形式获得技术转移转化收益，科研人员离岗后仍保持持有股权的权利。以技术转让、许可或作价投资方式转化职务绿色技术创新成果的，发明人或研发团队获净收入的比例不低于50%。科技人员从转化绿色技术创新成果所获现金收入，符合现行税收政策规定条件的，可享受减按50%计入科技人员当月“工资、薪金所得”计征个人所得税优惠政策。高校、科研院所科研人员依法取得的绿色技术创新成果转化奖励收入，不受本单位绩效工资总量限制，不纳入绩效工资总量核定基数。</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加强绿色技术创新人才培养，在高校设立一批绿色技术创新人才培养基地，加强绿色技术相关学科专业建设，持续深化绿色领域新工科建设，主动布局绿色技术人才培养。选好用好绿色技术创新领军人物、拔尖人才，选择部分职业教育机构开展绿色技术专业教育试点，引导技术技能劳动者在绿色技术领域就业、服务绿色技术创新。（科技部、教育部、财政部、人力资源社会保障部、税务总局按职责分工负责）</w:t>
      </w:r>
      <w:r>
        <w:rPr>
          <w:rFonts w:hint="eastAsia" w:ascii="宋体" w:hAnsi="宋体" w:eastAsia="宋体" w:cs="宋体"/>
          <w:color w:val="333333"/>
          <w:sz w:val="21"/>
          <w:szCs w:val="21"/>
          <w:u w:val="none"/>
        </w:rPr>
        <w:br w:type="textWrapping"/>
      </w:r>
      <w:r>
        <w:rPr>
          <w:rStyle w:val="24"/>
          <w:rFonts w:hint="eastAsia" w:ascii="宋体" w:hAnsi="宋体" w:eastAsia="宋体" w:cs="宋体"/>
          <w:color w:val="333333"/>
          <w:sz w:val="21"/>
          <w:szCs w:val="21"/>
          <w:u w:val="none"/>
        </w:rPr>
        <w:t>　　（六）推进“产学研金介”深度融合。</w:t>
      </w:r>
      <w:r>
        <w:rPr>
          <w:rStyle w:val="24"/>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支持龙头企业整合高校、科研院所、产业园区等力量建立具有独立法人地位、市场化运行的绿色技术创新联合体，科研人员可以技术入股、优先控股，推动科研人员、企业、高校、科研院所、金融机构等“捆绑”，实现人力资本、技术资本和金融资本相互催化、相互渗透、相互激励。</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鼓励和规范绿色技术创新人才流动，高校、科研院所科技人员按国家有关政策到绿色技术创新企业任职兼职、离岗创业、转化科技成果期间，保留人员编制，三年内可在原单位正常申报职称，创新成果作为职称评定依据；高校、科研院所按国家有关政策通过设置流动性岗位，引进企业人员兼职从事科研，不受兼职取酬限制，可以担任绿色技术创新课题或项目牵头人，组建科研团队。</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发挥龙头企业、骨干企业带动作用，企业牵头，联合高校、科研院所、中介机构、金融资本等共同参与，依法依规建立一批分领域、分类别的专业绿色技术创新联盟。更大力度实施绿色技术领域产学合作协同育人项目，支持联盟整合产业链上下游资源，联合开展绿色技术创新技术攻关研究。（科技部、教育部、农业农村部、人力资源社会保障部、国家发展改革委、国家能源局按职责分工负责）</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w:t>
      </w:r>
      <w:r>
        <w:rPr>
          <w:rStyle w:val="24"/>
          <w:rFonts w:hint="eastAsia" w:ascii="宋体" w:hAnsi="宋体" w:eastAsia="宋体" w:cs="宋体"/>
          <w:color w:val="333333"/>
          <w:sz w:val="21"/>
          <w:szCs w:val="21"/>
          <w:u w:val="none"/>
        </w:rPr>
        <w:t>（七）加强绿色技术创新基地平台建设。</w:t>
      </w:r>
      <w:r>
        <w:rPr>
          <w:rStyle w:val="24"/>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在绿色技术领域培育建设一批国家工程研究中心、国家技术创新中心、国家科技资源共享服务平台等创新基地平台，优先在京津冀、长江经济带、珠三角等地区布局。在全国建设基础性长期性野外生态观测研究站等科研监测观测网络和一批科学数据中心，并按规定向社会开放数据。高等院校、科研院所、国有企业以及政府支持建设的各类绿色技术创新基地平台均应向社会开放共享，向全社会主动发布绿色技术研发成果并持续动态更新。建立各类创新基地平台的评估考核激励机制，淘汰不达标的创新基地平台，建立动态调整机制。国家科技计划项目向绿色技术创新基地平台倾斜。（科技部、国家发展改革委牵头，自然资源部、水利部、农业农村部、国家林草局等参与）</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w:t>
      </w:r>
      <w:r>
        <w:rPr>
          <w:rStyle w:val="24"/>
          <w:rFonts w:hint="eastAsia" w:ascii="宋体" w:hAnsi="宋体" w:eastAsia="宋体" w:cs="宋体"/>
          <w:color w:val="333333"/>
          <w:sz w:val="21"/>
          <w:szCs w:val="21"/>
          <w:u w:val="none"/>
        </w:rPr>
        <w:t>　三、强化绿色技术创新的导向机制</w:t>
      </w:r>
      <w:r>
        <w:rPr>
          <w:rStyle w:val="24"/>
          <w:rFonts w:hint="eastAsia" w:ascii="宋体" w:hAnsi="宋体" w:eastAsia="宋体" w:cs="宋体"/>
          <w:color w:val="333333"/>
          <w:sz w:val="21"/>
          <w:szCs w:val="21"/>
          <w:u w:val="none"/>
        </w:rPr>
        <w:br w:type="textWrapping"/>
      </w:r>
      <w:r>
        <w:rPr>
          <w:rStyle w:val="24"/>
          <w:rFonts w:hint="eastAsia" w:ascii="宋体" w:hAnsi="宋体" w:eastAsia="宋体" w:cs="宋体"/>
          <w:color w:val="333333"/>
          <w:sz w:val="21"/>
          <w:szCs w:val="21"/>
          <w:u w:val="none"/>
        </w:rPr>
        <w:t>　　（八）加强绿色技术创新方向引导。</w:t>
      </w:r>
      <w:r>
        <w:rPr>
          <w:rStyle w:val="24"/>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制定发布绿色产业指导目录、绿色技术推广目录、绿色技术与装备淘汰目录，引导绿色技术创新方向，推动各行业技术装备升级，鼓励和引导社会资本投向绿色产业。</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强化对重点领域绿色技术创新的支持，围绕节能环保、清洁生产、清洁能源、生态保护与修复、城乡绿色基础设施、城市绿色发展、生态农业等领域关键共性技术、前沿引领技术、现代工程技术、颠覆性技术创新，对标国际先进水平，通过国家科技计划，前瞻性、系统性、战略性布局一批研发项目，突破关键材料、仪器设备、核心工艺、工业控制装置的技术瓶颈，推动研制一批具有自主知识产权、达到国际先进水平的关键核心绿色技术，切实提升原始创新能力。</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健全政府支持的绿色技术科研项目立项、验收、评价机制。树立“项目从需求中来，成果到应用中去”的理念，建立常态化绿色技术需求征集机制，紧紧围绕重大关键绿色技术需求部署科研项目。改革科研绩效评价机制，建立科学分类、合理多元的评价体系，强化目标任务考核和现场验收，重点考核技术的实际效果、成熟度与示范推广价值。（国家发展改革委、科技部、住房城乡建设部、生态环境部、工业和信息化部、自然资源部、水利部、农业农村部、国家能源局、国家林草局按职责分工负责）</w:t>
      </w:r>
      <w:r>
        <w:rPr>
          <w:rFonts w:hint="eastAsia" w:ascii="宋体" w:hAnsi="宋体" w:eastAsia="宋体" w:cs="宋体"/>
          <w:color w:val="333333"/>
          <w:sz w:val="21"/>
          <w:szCs w:val="21"/>
          <w:u w:val="none"/>
        </w:rPr>
        <w:br w:type="textWrapping"/>
      </w:r>
      <w:r>
        <w:rPr>
          <w:rStyle w:val="24"/>
          <w:rFonts w:hint="eastAsia" w:ascii="宋体" w:hAnsi="宋体" w:eastAsia="宋体" w:cs="宋体"/>
          <w:color w:val="333333"/>
          <w:sz w:val="21"/>
          <w:szCs w:val="21"/>
          <w:u w:val="none"/>
        </w:rPr>
        <w:t>　　（九）强化绿色技术标准引领。</w:t>
      </w:r>
      <w:r>
        <w:rPr>
          <w:rStyle w:val="24"/>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实施绿色技术标准制修订专项计划，明确重点领域标准制修订任务。强化绿色技术通用标准研究，在生态环境污染防治、资源节约和循环利用、城市绿色发展、新能源、能耗和污染物协同控制技术等重点领域制定一批绿色技术标准，明确绿色技术关键性能和技术指标，开展绿色技术效果评估和验证。</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依法完善产品能效、水效、能耗限额、碳排放、污染物排放等强制性标准，定期对强制性标准进行评估，及时更新修订。强化标准贯彻实施，倒逼企业进行绿色技术创新、采用绿色技术进行升级改造。（市场监管总局、科技部、国家发展改革委、生态环境部、住房城乡建设部牵头，工业和信息化部、自然资源部、水利部、农业农村部、国家能源局等参与）</w:t>
      </w:r>
      <w:r>
        <w:rPr>
          <w:rFonts w:hint="eastAsia" w:ascii="宋体" w:hAnsi="宋体" w:eastAsia="宋体" w:cs="宋体"/>
          <w:color w:val="333333"/>
          <w:sz w:val="21"/>
          <w:szCs w:val="21"/>
          <w:u w:val="none"/>
        </w:rPr>
        <w:br w:type="textWrapping"/>
      </w:r>
      <w:r>
        <w:rPr>
          <w:rStyle w:val="24"/>
          <w:rFonts w:hint="eastAsia" w:ascii="宋体" w:hAnsi="宋体" w:eastAsia="宋体" w:cs="宋体"/>
          <w:color w:val="333333"/>
          <w:sz w:val="21"/>
          <w:szCs w:val="21"/>
          <w:u w:val="none"/>
        </w:rPr>
        <w:t>　　（十）建立健全政府绿色采购制度。</w:t>
      </w:r>
      <w:r>
        <w:rPr>
          <w:rStyle w:val="24"/>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扩大政府绿色采购范围，在现有节能环保产品的基础上增加循环、低碳、再生、有机等产品政府采购。鼓励国有企业、其他企业自主开展绿色采购。</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遴选市场急需、具有实用价值、开发基础较好的共性关键绿色技术，政府以招标采购等方式购买技术，通过发布公告等形式向社会免费推广应用。（财政部、国家发展改革委、科技部、生态环境部牵头，国务院国资委等参与）</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w:t>
      </w:r>
      <w:r>
        <w:rPr>
          <w:rStyle w:val="24"/>
          <w:rFonts w:hint="eastAsia" w:ascii="宋体" w:hAnsi="宋体" w:eastAsia="宋体" w:cs="宋体"/>
          <w:color w:val="333333"/>
          <w:sz w:val="21"/>
          <w:szCs w:val="21"/>
          <w:u w:val="none"/>
        </w:rPr>
        <w:t>　（十一）推进绿色技术创新评价和认证。</w:t>
      </w:r>
      <w:r>
        <w:rPr>
          <w:rStyle w:val="24"/>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推行产品绿色（生态）设计，发布绿色（生态）设计产品名单，编制相关评价技术规范。大力推动绿色生产，健全绿色工厂评价体系，开展绿色工厂建设示范。推动企业运用互联网信息化技术，建立覆盖原材料采购、生产、物流、销售、回收等环节的绿色供应链管理体系。</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继续推进建立统一的绿色产品认证制度，对家用电器、汽车、建材等主要产品，基于绿色技术标准，从设计、材料、制造、消费、物流和回收、再利用环节开展产品全生命周期和全产业链绿色认证。积极开展第三方认证，加强认证结果采信，推动认证机构对认证结果承担连带责任。（工业和信息化部、市场监管总局、国家发展改革委、住房城乡建设部按职责分工负责）</w:t>
      </w:r>
      <w:r>
        <w:rPr>
          <w:rFonts w:hint="eastAsia" w:ascii="宋体" w:hAnsi="宋体" w:eastAsia="宋体" w:cs="宋体"/>
          <w:color w:val="333333"/>
          <w:sz w:val="21"/>
          <w:szCs w:val="21"/>
          <w:u w:val="none"/>
        </w:rPr>
        <w:br w:type="textWrapping"/>
      </w:r>
      <w:r>
        <w:rPr>
          <w:rStyle w:val="24"/>
          <w:rFonts w:hint="eastAsia" w:ascii="宋体" w:hAnsi="宋体" w:eastAsia="宋体" w:cs="宋体"/>
          <w:color w:val="333333"/>
          <w:sz w:val="21"/>
          <w:szCs w:val="21"/>
          <w:u w:val="none"/>
        </w:rPr>
        <w:t>　　四、推进绿色技术创新成果转化示范应用</w:t>
      </w:r>
      <w:r>
        <w:rPr>
          <w:rStyle w:val="24"/>
          <w:rFonts w:hint="eastAsia" w:ascii="宋体" w:hAnsi="宋体" w:eastAsia="宋体" w:cs="宋体"/>
          <w:color w:val="333333"/>
          <w:sz w:val="21"/>
          <w:szCs w:val="21"/>
          <w:u w:val="none"/>
        </w:rPr>
        <w:br w:type="textWrapping"/>
      </w:r>
      <w:r>
        <w:rPr>
          <w:rStyle w:val="24"/>
          <w:rFonts w:hint="eastAsia" w:ascii="宋体" w:hAnsi="宋体" w:eastAsia="宋体" w:cs="宋体"/>
          <w:color w:val="333333"/>
          <w:sz w:val="21"/>
          <w:szCs w:val="21"/>
          <w:u w:val="none"/>
        </w:rPr>
        <w:t>　　（十二）建立健全绿色技术转移转化市场交易体系。</w:t>
      </w:r>
      <w:r>
        <w:rPr>
          <w:rStyle w:val="24"/>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建立综合性国家级绿色技术交易市场，通过市场手段促进绿色技术创新成果转化。鼓励各地区、有关单位依托或整合现有交易场所，建设区域性、专业性特色鲜明的绿色技术交易市场。建立健全市场管理制度，规范市场秩序。对通过绿色技术交易市场对接成交的技术，国家和项目所在地地方政府应积极支持项目落地。推广科技成果转移转化与金融资本结合的综合性服务平台与服务模式，提高绿色技术转移转化效率。</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加强绿色技术交易中介机构能力建设，制定绿色技术创新中介机构评价规范和管理制度，培育一批绿色技术创新第三方检测、评价、认证等中介服务机构，培育一批专业化的绿色技术创新“经纪人”。（科技部、国家发展改革委牵头，财政部、中国银保监会、中国证监会等参与）</w:t>
      </w:r>
      <w:r>
        <w:rPr>
          <w:rFonts w:hint="eastAsia" w:ascii="宋体" w:hAnsi="宋体" w:eastAsia="宋体" w:cs="宋体"/>
          <w:color w:val="333333"/>
          <w:sz w:val="21"/>
          <w:szCs w:val="21"/>
          <w:u w:val="none"/>
        </w:rPr>
        <w:br w:type="textWrapping"/>
      </w:r>
      <w:r>
        <w:rPr>
          <w:rStyle w:val="24"/>
          <w:rFonts w:hint="eastAsia" w:ascii="宋体" w:hAnsi="宋体" w:eastAsia="宋体" w:cs="宋体"/>
          <w:color w:val="333333"/>
          <w:sz w:val="21"/>
          <w:szCs w:val="21"/>
          <w:u w:val="none"/>
        </w:rPr>
        <w:t>　　（十三）完善绿色技术创新成果转化机制。</w:t>
      </w:r>
      <w:r>
        <w:rPr>
          <w:rStyle w:val="24"/>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落实首台（套）重大技术装备保险补偿政策措施，支持首台（套）绿色技术创新装备示范应用。继续实施重点新材料首批次应用保险补偿机制，运用市场化手段促进重点新材料推广应用。</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支持企业、高校、科研机构等建立绿色技术创新项目孵化器、创新创业基地。建设绿色技术中试公共设施，研究制定相关制度，为绿色技术中试设施建设创造宽松条件。采取政府购买服务等方式，健全绿色技术创新公共服务体系，扶持初创企业和成果转化。</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积极发挥国家科技成果转化引导基金的作用，每年遴选一批重点绿色技术创新成果支持转化应用。引导各类天使投资、创业投资基金、地方创投基金等支持绿色技术创新成果转化。（科技部、国家发展改革委、工业和信息化部、住房城乡建设部牵头，生态环境部、中国银保监会、中国证监会等参与）</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w:t>
      </w:r>
      <w:r>
        <w:rPr>
          <w:rStyle w:val="24"/>
          <w:rFonts w:hint="eastAsia" w:ascii="宋体" w:hAnsi="宋体" w:eastAsia="宋体" w:cs="宋体"/>
          <w:color w:val="333333"/>
          <w:sz w:val="21"/>
          <w:szCs w:val="21"/>
          <w:u w:val="none"/>
        </w:rPr>
        <w:t>（十四）强化绿色技术创新转移转化综合示范。</w:t>
      </w:r>
      <w:r>
        <w:rPr>
          <w:rStyle w:val="24"/>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选择绿色技术创新基础较好的城市，建设绿色技术创新综合示范区。鼓励绿色技术创新综合示范区创新“科学+技术+工程”的组织实施模式，组织优势创新力量，实施城市黑臭水体治理、渤海综合治理、长江保护修复、农业农村污染治理、煤炭清洁高效利用、固体废弃物综合利用、工业节能节水、绿色建筑、建筑节能、清洁取暖、海绵城市、高效节能电器、清洁能源替代、海洋生物资源开发利用、海水淡化与综合利用等技术研发重大项目和示范工程，探索绿色技术创新与政策管理创新协同发力，实现绿色科技进步和技术创新驱动绿色发展。建立绿色技术创新示范区考核评价机制，淘汰不达标的示范区。</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采用“园中园”模式，在国家级高新技术开发区、经济技术开发区等开展绿色技术创新转移转化示范，推动有条件的产业集聚区向绿色技术创新集聚区转变。推进绿色生态城市建设，鼓励绿色生态城市建设过程中积极采用绿色新技术。（科技部、国家发展改革委、住房城乡建设部牵头，工业和信息化部、自然资源部、生态环境部、商务部、水利部、农业农村部、国家林草局、国家能源局等参与）</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w:t>
      </w:r>
      <w:r>
        <w:rPr>
          <w:rStyle w:val="24"/>
          <w:rFonts w:hint="eastAsia" w:ascii="宋体" w:hAnsi="宋体" w:eastAsia="宋体" w:cs="宋体"/>
          <w:color w:val="333333"/>
          <w:sz w:val="21"/>
          <w:szCs w:val="21"/>
          <w:u w:val="none"/>
        </w:rPr>
        <w:t>　五、优化绿色技术创新环境</w:t>
      </w:r>
      <w:r>
        <w:rPr>
          <w:rStyle w:val="24"/>
          <w:rFonts w:hint="eastAsia" w:ascii="宋体" w:hAnsi="宋体" w:eastAsia="宋体" w:cs="宋体"/>
          <w:color w:val="333333"/>
          <w:sz w:val="21"/>
          <w:szCs w:val="21"/>
          <w:u w:val="none"/>
        </w:rPr>
        <w:br w:type="textWrapping"/>
      </w:r>
      <w:r>
        <w:rPr>
          <w:rStyle w:val="24"/>
          <w:rFonts w:hint="eastAsia" w:ascii="宋体" w:hAnsi="宋体" w:eastAsia="宋体" w:cs="宋体"/>
          <w:color w:val="333333"/>
          <w:sz w:val="21"/>
          <w:szCs w:val="21"/>
          <w:u w:val="none"/>
        </w:rPr>
        <w:t>　　（十五）强化绿色技术知识产权保护与服务。</w:t>
      </w:r>
      <w:r>
        <w:rPr>
          <w:rStyle w:val="24"/>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健全绿色技术知识产权保护制度，强化绿色技术研发、示范、推广、应用、产业化各环节知识产权保护。知识产权部门会同有关方面共同建立绿色技术知识产权保护联系机制、公益服务机制、工作联动机制，开展打击侵犯绿色技术知识产权行为的专项行动。建立绿色技术侵权行为信息记录，将有关信息纳入全国公共信用共享平台。强化绿色技术创新知识产权服务，推进建立绿色技术知识产权审查“快速通道”，为绿色技术知识产权提供快速审查、快速确权、快速维权一体化的综合服务，完善绿色技术知识产权统计监测。（国家知识产权局牵头，科技部、国家发展改革委等参与）</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w:t>
      </w:r>
      <w:r>
        <w:rPr>
          <w:rStyle w:val="24"/>
          <w:rFonts w:hint="eastAsia" w:ascii="宋体" w:hAnsi="宋体" w:eastAsia="宋体" w:cs="宋体"/>
          <w:color w:val="333333"/>
          <w:sz w:val="21"/>
          <w:szCs w:val="21"/>
          <w:u w:val="none"/>
        </w:rPr>
        <w:t>（十六）加强绿色技术创新金融支持。</w:t>
      </w:r>
      <w:r>
        <w:rPr>
          <w:rStyle w:val="24"/>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引导银行业金融机构合理确定绿色技术贷款的融资门槛，积极开展金融创新，支持绿色技术创新企业和项目融资。研究制定公募和私募基金绿色投资标准和行为指引，把绿色技术创新作为优先支持领域。发展多层次资本市场和并购市场，健全绿色技术创新企业投资者退出机制。鼓励绿色技术创新企业充分利用国内外市场上市融资。鼓励保险公司开发支持绿色技术创新和绿色产品应用的保险产品。鼓励地方政府通过担保基金或委托专业担保公司等方式，对绿色技术创新成果转化和示范应用提供担保或其他类型的风险补偿。涉及绿色金融对绿色技术创新的相关试点，在国务院批复的绿色金融改革创新试验区先行先试。（中国人民银行、国家发展改革委、中国银保监会、中国证监会按职责分工负责）</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w:t>
      </w:r>
      <w:r>
        <w:rPr>
          <w:rStyle w:val="24"/>
          <w:rFonts w:hint="eastAsia" w:ascii="宋体" w:hAnsi="宋体" w:eastAsia="宋体" w:cs="宋体"/>
          <w:color w:val="333333"/>
          <w:sz w:val="21"/>
          <w:szCs w:val="21"/>
          <w:u w:val="none"/>
        </w:rPr>
        <w:t>　（十七）推进全社会绿色技术创新。</w:t>
      </w:r>
      <w:r>
        <w:rPr>
          <w:rStyle w:val="24"/>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组织开展绿色技术创新创业大赛，对大赛获奖企业、机构和个人予以奖励。鼓励相关单位开展绿色技术创新比赛、投资大会、创业路演、创新论坛和创新成果推介会、拍卖会、交易会等服务活动，推动绿色技术创新创业者与投融资机构对接。国家按照科学技术奖励的有关规定对攻克绿色重大关键技术、创造显著经济社会效益或生态环境效益的个人或组织给予奖励。</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推进绿色技术众创，在创新资源集中的科技园区、创业基地建立绿色技术众创空间，引导高校科研人员创办绿色技术创新企业。鼓励企业、科研机构开展绿色技术创新活动、建立激励机制，提高员工的绿色创新意识。</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通过全国“双创”周、全国节能宣传周、六五环境日、全国低碳日等平台加强绿色技术创新宣传，引导各类媒体加大宣传力度，发掘典型案例，推广成功经验。在全社会营造绿色技术创新文化氛围，促进绿色技术创新信息和知识传播，积极引导绿色发展方式和生活方式。（科技部、国家发展改革委、生态环境部、住房城乡建设部牵头，中国银保监会、中国证监会等参与）</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w:t>
      </w:r>
      <w:r>
        <w:rPr>
          <w:rStyle w:val="24"/>
          <w:rFonts w:hint="eastAsia" w:ascii="宋体" w:hAnsi="宋体" w:eastAsia="宋体" w:cs="宋体"/>
          <w:color w:val="333333"/>
          <w:sz w:val="21"/>
          <w:szCs w:val="21"/>
          <w:u w:val="none"/>
        </w:rPr>
        <w:t>　六、加强绿色技术创新对外开放与国际合作</w:t>
      </w:r>
      <w:r>
        <w:rPr>
          <w:rStyle w:val="24"/>
          <w:rFonts w:hint="eastAsia" w:ascii="宋体" w:hAnsi="宋体" w:eastAsia="宋体" w:cs="宋体"/>
          <w:color w:val="333333"/>
          <w:sz w:val="21"/>
          <w:szCs w:val="21"/>
          <w:u w:val="none"/>
        </w:rPr>
        <w:br w:type="textWrapping"/>
      </w:r>
      <w:r>
        <w:rPr>
          <w:rStyle w:val="24"/>
          <w:rFonts w:hint="eastAsia" w:ascii="宋体" w:hAnsi="宋体" w:eastAsia="宋体" w:cs="宋体"/>
          <w:color w:val="333333"/>
          <w:sz w:val="21"/>
          <w:szCs w:val="21"/>
          <w:u w:val="none"/>
        </w:rPr>
        <w:t>　　（十八）深化绿色技术创新国际合作。</w:t>
      </w:r>
      <w:r>
        <w:rPr>
          <w:rStyle w:val="24"/>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深度参与全球环境治理，促进绿色技术创新领域的国际交流合作。以二十国集团（G20）、一带一路、金砖国家等合作机制为依托，推进建立“一带一路”绿色技术创新联盟等合作机构，强化绿色技术创新国际交流。</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通过举办博览会、论坛等形式积极传播绿色技术创新理念和成果，促进绿色技术国际交易和转移转化，推动龙头企业在部分国际绿色技术研发领域发挥引领作用。开展国际十大最佳节能技术和十大最佳节能实践（“双十佳”）评选和推广，促进优秀绿色技术成果推广应用。（科技部、国家发展改革委、生态环境部按职责分工负责）</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w:t>
      </w:r>
      <w:r>
        <w:rPr>
          <w:rStyle w:val="24"/>
          <w:rFonts w:hint="eastAsia" w:ascii="宋体" w:hAnsi="宋体" w:eastAsia="宋体" w:cs="宋体"/>
          <w:color w:val="333333"/>
          <w:sz w:val="21"/>
          <w:szCs w:val="21"/>
          <w:u w:val="none"/>
        </w:rPr>
        <w:t>（十九）加大绿色技术创新对外开放。</w:t>
      </w:r>
      <w:r>
        <w:rPr>
          <w:rStyle w:val="24"/>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积极引进国际先进绿色技术，鼓励国际绿色技术持有方通过技术入股、合作设立企业等方式，推动绿色技术创新成果在国内转化落地，强化对国际绿色技术的产权保护。支持国家级经济技术开发区等建设国际合作生态园区，国外绿色技术创新企业独资或合资在国内设立绿色技术创新园区或建设“园中园”，按规定享有与国内企业同等优惠的政策。</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积极创造便利条件，鼓励有条件的企业、本科高校、职业院校和科研院所“走出去”，按照国际规则开展互利合作，促进成熟绿色技术在其他国家转化和应用。（科技部、国家发展改革委、教育部、商务部、工业和信息化部、生态环境部、住房城乡建设部按职责分工负责）</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w:t>
      </w:r>
      <w:r>
        <w:rPr>
          <w:rStyle w:val="24"/>
          <w:rFonts w:hint="eastAsia" w:ascii="宋体" w:hAnsi="宋体" w:eastAsia="宋体" w:cs="宋体"/>
          <w:color w:val="333333"/>
          <w:sz w:val="21"/>
          <w:szCs w:val="21"/>
          <w:u w:val="none"/>
        </w:rPr>
        <w:t>七、组织实施</w:t>
      </w:r>
      <w:r>
        <w:rPr>
          <w:rStyle w:val="24"/>
          <w:rFonts w:hint="eastAsia" w:ascii="宋体" w:hAnsi="宋体" w:eastAsia="宋体" w:cs="宋体"/>
          <w:color w:val="333333"/>
          <w:sz w:val="21"/>
          <w:szCs w:val="21"/>
          <w:u w:val="none"/>
        </w:rPr>
        <w:br w:type="textWrapping"/>
      </w:r>
      <w:r>
        <w:rPr>
          <w:rStyle w:val="24"/>
          <w:rFonts w:hint="eastAsia" w:ascii="宋体" w:hAnsi="宋体" w:eastAsia="宋体" w:cs="宋体"/>
          <w:color w:val="333333"/>
          <w:sz w:val="21"/>
          <w:szCs w:val="21"/>
          <w:u w:val="none"/>
        </w:rPr>
        <w:t>　　（二十）加强统筹协调。</w:t>
      </w:r>
      <w:r>
        <w:rPr>
          <w:rStyle w:val="24"/>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国家发展改革委、科技部牵头建立绿色技术创新部际协调机制。各地区、各部门要结合各自实际，加强政策衔接，制定落实方案或强化对相关领域的创新支持，加强组织领导，明确责任，加大投入力度，切实落实各项任务措施。（国家发展改革委、科技部牵头）</w:t>
      </w:r>
      <w:r>
        <w:rPr>
          <w:rFonts w:hint="eastAsia" w:ascii="宋体" w:hAnsi="宋体" w:eastAsia="宋体" w:cs="宋体"/>
          <w:color w:val="333333"/>
          <w:sz w:val="21"/>
          <w:szCs w:val="21"/>
          <w:u w:val="none"/>
        </w:rPr>
        <w:br w:type="textWrapping"/>
      </w:r>
      <w:r>
        <w:rPr>
          <w:rStyle w:val="24"/>
          <w:rFonts w:hint="eastAsia" w:ascii="宋体" w:hAnsi="宋体" w:eastAsia="宋体" w:cs="宋体"/>
          <w:color w:val="333333"/>
          <w:sz w:val="21"/>
          <w:szCs w:val="21"/>
          <w:u w:val="none"/>
        </w:rPr>
        <w:t>　　（二十一）强化评价考核。</w:t>
      </w:r>
      <w:r>
        <w:rPr>
          <w:rStyle w:val="24"/>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加强绿色技术创新政策评估与绩效评价，建立绿色技术创新评价体系，将绿色技术创新成果、推广应用情况等纳入创新驱动发展、高质量发展、生态文明建设评价考核内容。（科技部、国家发展改革委牵头）</w:t>
      </w:r>
      <w:r>
        <w:rPr>
          <w:rFonts w:hint="eastAsia" w:ascii="宋体" w:hAnsi="宋体" w:eastAsia="宋体" w:cs="宋体"/>
          <w:color w:val="333333"/>
          <w:sz w:val="21"/>
          <w:szCs w:val="21"/>
          <w:u w:val="none"/>
        </w:rPr>
        <w:br w:type="textWrapping"/>
      </w:r>
      <w:r>
        <w:rPr>
          <w:rStyle w:val="24"/>
          <w:rFonts w:hint="eastAsia" w:ascii="宋体" w:hAnsi="宋体" w:eastAsia="宋体" w:cs="宋体"/>
          <w:color w:val="333333"/>
          <w:sz w:val="21"/>
          <w:szCs w:val="21"/>
          <w:u w:val="none"/>
        </w:rPr>
        <w:t>　　（二十二）加强示范引领。</w:t>
      </w:r>
      <w:r>
        <w:rPr>
          <w:rStyle w:val="24"/>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发挥绿色技术创新综合示范区、绿色技术工程研究中心、绿色技术创新中心、绿色企业技术中心等作用，探索绿色技术创新与绿色管理制度协同发力的有效模式，及时总结可复制推广的做法和成功经验，发挥示范带动作用。（科技部、国家发展改革委牵头）</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left"/>
        <w:textAlignment w:val="auto"/>
        <w:rPr>
          <w:sz w:val="21"/>
          <w:szCs w:val="21"/>
        </w:rPr>
      </w:pPr>
      <w:r>
        <w:rPr>
          <w:rFonts w:hint="eastAsia" w:ascii="宋体" w:hAnsi="宋体" w:eastAsia="宋体" w:cs="宋体"/>
          <w:color w:val="333333"/>
          <w:sz w:val="21"/>
          <w:szCs w:val="21"/>
          <w:u w:val="none"/>
        </w:rPr>
        <w:t>　　附件：构建市场导向的绿色技术创新体系路线图、时间表</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sz w:val="21"/>
          <w:szCs w:val="21"/>
        </w:rPr>
      </w:pPr>
      <w:r>
        <w:rPr>
          <w:rFonts w:hint="eastAsia" w:ascii="宋体" w:hAnsi="宋体" w:eastAsia="宋体" w:cs="宋体"/>
          <w:color w:val="333333"/>
          <w:sz w:val="21"/>
          <w:szCs w:val="21"/>
          <w:u w:val="none"/>
        </w:rPr>
        <w:t>国家发展改革委      科技部</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xml:space="preserve">2019年4月15日 </w:t>
      </w:r>
    </w:p>
    <w:p>
      <w:pPr>
        <w:keepNext w:val="0"/>
        <w:keepLines w:val="0"/>
        <w:widowControl/>
        <w:suppressLineNumbers w:val="0"/>
        <w:spacing w:line="17" w:lineRule="atLeast"/>
        <w:jc w:val="center"/>
      </w:pPr>
    </w:p>
    <w:p>
      <w:pPr>
        <w:keepNext w:val="0"/>
        <w:keepLines w:val="0"/>
        <w:widowControl/>
        <w:suppressLineNumbers w:val="0"/>
        <w:spacing w:line="17" w:lineRule="atLeast"/>
        <w:jc w:val="center"/>
      </w:pPr>
    </w:p>
    <w:p>
      <w:pPr>
        <w:pStyle w:val="20"/>
        <w:keepNext w:val="0"/>
        <w:keepLines w:val="0"/>
        <w:widowControl/>
        <w:suppressLineNumbers w:val="0"/>
        <w:spacing w:before="0" w:beforeAutospacing="0" w:after="0" w:afterAutospacing="0" w:line="17" w:lineRule="atLeast"/>
        <w:ind w:left="0" w:right="0"/>
        <w:jc w:val="left"/>
      </w:pPr>
      <w:r>
        <w:rPr>
          <w:rFonts w:hint="eastAsia" w:ascii="宋体" w:hAnsi="宋体" w:eastAsia="宋体" w:cs="宋体"/>
          <w:color w:val="333333"/>
          <w:sz w:val="19"/>
          <w:szCs w:val="19"/>
          <w:u w:val="none"/>
        </w:rPr>
        <w:t> </w:t>
      </w:r>
    </w:p>
    <w:p>
      <w:pPr>
        <w:pStyle w:val="20"/>
        <w:keepNext w:val="0"/>
        <w:keepLines w:val="0"/>
        <w:widowControl/>
        <w:suppressLineNumbers w:val="0"/>
        <w:spacing w:before="0" w:beforeAutospacing="0" w:after="0" w:afterAutospacing="0" w:line="420" w:lineRule="atLeast"/>
        <w:ind w:left="420" w:right="0"/>
        <w:jc w:val="center"/>
        <w:rPr>
          <w:sz w:val="18"/>
          <w:szCs w:val="18"/>
        </w:rPr>
      </w:pPr>
      <w:r>
        <w:rPr>
          <w:rFonts w:hint="eastAsia" w:ascii="宋体" w:hAnsi="宋体" w:eastAsia="宋体" w:cs="宋体"/>
          <w:b/>
          <w:color w:val="333333"/>
          <w:sz w:val="18"/>
          <w:szCs w:val="18"/>
          <w:u w:val="none"/>
        </w:rPr>
        <w:t>构建市场导向的绿色技术创新体系路线图、时间表</w:t>
      </w:r>
    </w:p>
    <w:tbl>
      <w:tblPr>
        <w:tblStyle w:val="21"/>
        <w:tblW w:w="109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5"/>
        <w:gridCol w:w="2163"/>
        <w:gridCol w:w="2708"/>
        <w:gridCol w:w="4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3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b/>
                <w:color w:val="444444"/>
                <w:sz w:val="18"/>
                <w:szCs w:val="18"/>
                <w:u w:val="none"/>
              </w:rPr>
              <w:t>任    务</w:t>
            </w:r>
          </w:p>
        </w:tc>
        <w:tc>
          <w:tcPr>
            <w:tcW w:w="2708"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b/>
                <w:color w:val="444444"/>
                <w:sz w:val="18"/>
                <w:szCs w:val="18"/>
                <w:u w:val="none"/>
              </w:rPr>
              <w:t>牵头部门</w:t>
            </w:r>
          </w:p>
        </w:tc>
        <w:tc>
          <w:tcPr>
            <w:tcW w:w="4892"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b/>
                <w:color w:val="444444"/>
                <w:sz w:val="18"/>
                <w:szCs w:val="18"/>
                <w:u w:val="none"/>
              </w:rPr>
              <w:t>主要成果形式和完成时间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215" w:type="dxa"/>
            <w:vMerge w:val="restart"/>
            <w:tcBorders>
              <w:top w:val="nil"/>
              <w:left w:val="single" w:color="000000" w:sz="4" w:space="0"/>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一、培育壮大绿色技术创新主体</w:t>
            </w:r>
          </w:p>
        </w:tc>
        <w:tc>
          <w:tcPr>
            <w:tcW w:w="2163"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left"/>
              <w:rPr>
                <w:rFonts w:hint="default"/>
                <w:sz w:val="18"/>
                <w:szCs w:val="18"/>
              </w:rPr>
            </w:pPr>
            <w:r>
              <w:rPr>
                <w:rFonts w:hint="eastAsia" w:ascii="宋体" w:hAnsi="宋体" w:eastAsia="宋体" w:cs="宋体"/>
                <w:color w:val="444444"/>
                <w:sz w:val="18"/>
                <w:szCs w:val="18"/>
                <w:u w:val="none"/>
              </w:rPr>
              <w:t>1.强化企业的绿色技术创新主体地位</w:t>
            </w:r>
          </w:p>
        </w:tc>
        <w:tc>
          <w:tcPr>
            <w:tcW w:w="2708"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科技部、国家发展改革委</w:t>
            </w:r>
          </w:p>
        </w:tc>
        <w:tc>
          <w:tcPr>
            <w:tcW w:w="4892"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1.实施绿色技术创新“十百千”行动（2019-2022年）</w:t>
            </w:r>
          </w:p>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2.开展绿色技术创新企业认定（2019-2022年）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21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444444"/>
                <w:sz w:val="18"/>
                <w:szCs w:val="18"/>
                <w:u w:val="none"/>
              </w:rPr>
            </w:pPr>
          </w:p>
        </w:tc>
        <w:tc>
          <w:tcPr>
            <w:tcW w:w="2163"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left"/>
              <w:rPr>
                <w:rFonts w:hint="default"/>
                <w:sz w:val="18"/>
                <w:szCs w:val="18"/>
              </w:rPr>
            </w:pPr>
            <w:r>
              <w:rPr>
                <w:rFonts w:hint="eastAsia" w:ascii="宋体" w:hAnsi="宋体" w:eastAsia="宋体" w:cs="宋体"/>
                <w:color w:val="444444"/>
                <w:sz w:val="18"/>
                <w:szCs w:val="18"/>
                <w:u w:val="none"/>
              </w:rPr>
              <w:t>2.激发高校、科研院所绿色技术创新活力</w:t>
            </w:r>
          </w:p>
        </w:tc>
        <w:tc>
          <w:tcPr>
            <w:tcW w:w="2708"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科技部、教育部、财政部、人力资源社会保障部</w:t>
            </w:r>
          </w:p>
        </w:tc>
        <w:tc>
          <w:tcPr>
            <w:tcW w:w="4892"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3.完善促进高校、科研院所绿色技术创新和成果转化的政策措施（2020年）</w:t>
            </w:r>
          </w:p>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4.设立一批绿色技术创新人才培养基地（2019-2022年）</w:t>
            </w:r>
          </w:p>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5.开展职业教育机构绿色技术专业教育试点（2019-2022年）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21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444444"/>
                <w:sz w:val="18"/>
                <w:szCs w:val="18"/>
                <w:u w:val="none"/>
              </w:rPr>
            </w:pPr>
          </w:p>
        </w:tc>
        <w:tc>
          <w:tcPr>
            <w:tcW w:w="2163"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left"/>
              <w:rPr>
                <w:rFonts w:hint="default"/>
                <w:sz w:val="18"/>
                <w:szCs w:val="18"/>
              </w:rPr>
            </w:pPr>
            <w:r>
              <w:rPr>
                <w:rFonts w:hint="eastAsia" w:ascii="宋体" w:hAnsi="宋体" w:eastAsia="宋体" w:cs="宋体"/>
                <w:color w:val="444444"/>
                <w:sz w:val="18"/>
                <w:szCs w:val="18"/>
                <w:u w:val="none"/>
              </w:rPr>
              <w:t>3.推进“产学研金介”深度融合</w:t>
            </w:r>
          </w:p>
        </w:tc>
        <w:tc>
          <w:tcPr>
            <w:tcW w:w="2708"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科技部、教育部、农业农村部、人力资源社会保障部、国家发展改革委、国家能源局</w:t>
            </w:r>
          </w:p>
        </w:tc>
        <w:tc>
          <w:tcPr>
            <w:tcW w:w="4892"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6.推动龙头企业整合高校、科研院所、产业园区、金融机构、中介机构等力量建立联合体（2019-2022年）</w:t>
            </w:r>
          </w:p>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7.完善促进和规范绿色技术创新人才流动的相关政策（2020年）</w:t>
            </w:r>
          </w:p>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8.推动组建一批绿色技术创新联盟（2019-2022年）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444444"/>
                <w:sz w:val="18"/>
                <w:szCs w:val="18"/>
                <w:u w:val="none"/>
              </w:rPr>
            </w:pPr>
          </w:p>
        </w:tc>
        <w:tc>
          <w:tcPr>
            <w:tcW w:w="2163"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left"/>
              <w:rPr>
                <w:rFonts w:hint="default"/>
                <w:sz w:val="18"/>
                <w:szCs w:val="18"/>
              </w:rPr>
            </w:pPr>
            <w:r>
              <w:rPr>
                <w:rFonts w:hint="eastAsia" w:ascii="宋体" w:hAnsi="宋体" w:eastAsia="宋体" w:cs="宋体"/>
                <w:color w:val="444444"/>
                <w:sz w:val="18"/>
                <w:szCs w:val="18"/>
                <w:u w:val="none"/>
              </w:rPr>
              <w:t>4.加强绿色技术创新基地平台建设</w:t>
            </w:r>
          </w:p>
        </w:tc>
        <w:tc>
          <w:tcPr>
            <w:tcW w:w="2708"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科技部、国家发展改革委</w:t>
            </w:r>
          </w:p>
        </w:tc>
        <w:tc>
          <w:tcPr>
            <w:tcW w:w="4892"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9.在绿色技术领域培育建设一批国家工程研究中心、国家技术创新中心、国家科技资源共享服务平台等创新基地（2019-2022年）</w:t>
            </w:r>
          </w:p>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10.在全国建设基础性长期性野外生态观测研究站等科研监测观测网络和一批科学数据中心（2019-2022年）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215" w:type="dxa"/>
            <w:vMerge w:val="restart"/>
            <w:tcBorders>
              <w:top w:val="nil"/>
              <w:left w:val="single" w:color="000000" w:sz="4" w:space="0"/>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二、加强绿色技术创新的导向机制</w:t>
            </w:r>
          </w:p>
        </w:tc>
        <w:tc>
          <w:tcPr>
            <w:tcW w:w="2163"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left"/>
              <w:rPr>
                <w:rFonts w:hint="default"/>
                <w:sz w:val="18"/>
                <w:szCs w:val="18"/>
              </w:rPr>
            </w:pPr>
            <w:r>
              <w:rPr>
                <w:rFonts w:hint="eastAsia" w:ascii="宋体" w:hAnsi="宋体" w:eastAsia="宋体" w:cs="宋体"/>
                <w:color w:val="444444"/>
                <w:sz w:val="18"/>
                <w:szCs w:val="18"/>
                <w:u w:val="none"/>
              </w:rPr>
              <w:t>5.加强绿色技术创新方向引导</w:t>
            </w:r>
          </w:p>
        </w:tc>
        <w:tc>
          <w:tcPr>
            <w:tcW w:w="2708"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国家发展改革委、科技部、住房城乡建设部、生态环境部、工业和信息化部、自然资源部、水利部、农业农村部、国家能源局、国家林草局</w:t>
            </w:r>
          </w:p>
        </w:tc>
        <w:tc>
          <w:tcPr>
            <w:tcW w:w="4892"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11.发布绿色技术产业指导目录、绿色技术推广目录、绿色技术与装备淘汰目录（2020年）</w:t>
            </w:r>
          </w:p>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12.实施一批绿色技术创新重大工程和项目（2019-2022年）</w:t>
            </w:r>
          </w:p>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13.健全绿色技术创新科研管理机制（2019-2022年）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121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444444"/>
                <w:sz w:val="18"/>
                <w:szCs w:val="18"/>
                <w:u w:val="none"/>
              </w:rPr>
            </w:pPr>
          </w:p>
        </w:tc>
        <w:tc>
          <w:tcPr>
            <w:tcW w:w="2163"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left"/>
              <w:rPr>
                <w:rFonts w:hint="default"/>
                <w:sz w:val="18"/>
                <w:szCs w:val="18"/>
              </w:rPr>
            </w:pPr>
            <w:r>
              <w:rPr>
                <w:rFonts w:hint="eastAsia" w:ascii="宋体" w:hAnsi="宋体" w:eastAsia="宋体" w:cs="宋体"/>
                <w:color w:val="444444"/>
                <w:sz w:val="18"/>
                <w:szCs w:val="18"/>
                <w:u w:val="none"/>
              </w:rPr>
              <w:t>6.强化绿色技术标准引领</w:t>
            </w:r>
          </w:p>
        </w:tc>
        <w:tc>
          <w:tcPr>
            <w:tcW w:w="2708"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市场监管总局、科技部、国家发展改革委、生态环境部、住房城乡建设部</w:t>
            </w:r>
          </w:p>
        </w:tc>
        <w:tc>
          <w:tcPr>
            <w:tcW w:w="4892"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14.征集并下达重点领域绿色技术标准制修订专项计划（2019年）</w:t>
            </w:r>
          </w:p>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15.制修订一批节能节水、污染物排放等强制性标准并不断更新（2018-2022年）</w:t>
            </w:r>
          </w:p>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16.开展绿色技术评估和效果验证（2019年）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21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444444"/>
                <w:sz w:val="18"/>
                <w:szCs w:val="18"/>
                <w:u w:val="none"/>
              </w:rPr>
            </w:pPr>
          </w:p>
        </w:tc>
        <w:tc>
          <w:tcPr>
            <w:tcW w:w="2163"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left"/>
              <w:rPr>
                <w:rFonts w:hint="default"/>
                <w:sz w:val="18"/>
                <w:szCs w:val="18"/>
              </w:rPr>
            </w:pPr>
            <w:r>
              <w:rPr>
                <w:rFonts w:hint="eastAsia" w:ascii="宋体" w:hAnsi="宋体" w:eastAsia="宋体" w:cs="宋体"/>
                <w:color w:val="444444"/>
                <w:sz w:val="18"/>
                <w:szCs w:val="18"/>
                <w:u w:val="none"/>
              </w:rPr>
              <w:t>7.建立健全政府绿色采购制度</w:t>
            </w:r>
          </w:p>
        </w:tc>
        <w:tc>
          <w:tcPr>
            <w:tcW w:w="2708"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财政部、国家发展改革委、科技部、生态环境部</w:t>
            </w:r>
          </w:p>
        </w:tc>
        <w:tc>
          <w:tcPr>
            <w:tcW w:w="4892"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17.扩大政府绿色采购范围（2020年）</w:t>
            </w:r>
          </w:p>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18.政府购买绿色技术向社会免费推广（2019-2022年）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21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444444"/>
                <w:sz w:val="18"/>
                <w:szCs w:val="18"/>
                <w:u w:val="none"/>
              </w:rPr>
            </w:pPr>
          </w:p>
        </w:tc>
        <w:tc>
          <w:tcPr>
            <w:tcW w:w="2163"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left"/>
              <w:rPr>
                <w:rFonts w:hint="default"/>
                <w:sz w:val="18"/>
                <w:szCs w:val="18"/>
              </w:rPr>
            </w:pPr>
            <w:r>
              <w:rPr>
                <w:rFonts w:hint="eastAsia" w:ascii="宋体" w:hAnsi="宋体" w:eastAsia="宋体" w:cs="宋体"/>
                <w:color w:val="444444"/>
                <w:sz w:val="18"/>
                <w:szCs w:val="18"/>
                <w:u w:val="none"/>
              </w:rPr>
              <w:t>8.推进绿色技术创新评价和认证</w:t>
            </w:r>
          </w:p>
        </w:tc>
        <w:tc>
          <w:tcPr>
            <w:tcW w:w="2708"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工业和信息化部、市场监管总局、国家发展改革委、住房城乡建设部</w:t>
            </w:r>
          </w:p>
        </w:tc>
        <w:tc>
          <w:tcPr>
            <w:tcW w:w="4892"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19.组织制定绿色（生态）设计产品评价技术规范（2019-2020年）</w:t>
            </w:r>
          </w:p>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20.建立家电、汽车、建材等产品全生命周期和全产业链绿色认证管理制度（2020年）</w:t>
            </w:r>
          </w:p>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21.开展绿色工厂建设示范（2019-2022年）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215" w:type="dxa"/>
            <w:vMerge w:val="restart"/>
            <w:tcBorders>
              <w:top w:val="nil"/>
              <w:left w:val="single" w:color="000000" w:sz="4" w:space="0"/>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三、推进绿色技术创新成果转化示范应用</w:t>
            </w:r>
          </w:p>
        </w:tc>
        <w:tc>
          <w:tcPr>
            <w:tcW w:w="2163"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left"/>
              <w:rPr>
                <w:rFonts w:hint="default"/>
                <w:sz w:val="18"/>
                <w:szCs w:val="18"/>
              </w:rPr>
            </w:pPr>
            <w:r>
              <w:rPr>
                <w:rFonts w:hint="eastAsia" w:ascii="宋体" w:hAnsi="宋体" w:eastAsia="宋体" w:cs="宋体"/>
                <w:color w:val="444444"/>
                <w:sz w:val="18"/>
                <w:szCs w:val="18"/>
                <w:u w:val="none"/>
              </w:rPr>
              <w:t>9.建立健全绿色技术转移转化市场交易体系</w:t>
            </w:r>
          </w:p>
        </w:tc>
        <w:tc>
          <w:tcPr>
            <w:tcW w:w="2708"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科技部、国家发展改革委、中国证监会</w:t>
            </w:r>
          </w:p>
        </w:tc>
        <w:tc>
          <w:tcPr>
            <w:tcW w:w="4892"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22.建立国家绿色技术交易市场（2020年）</w:t>
            </w:r>
          </w:p>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23.健全规范绿色技术交易市场的相关制度（2020年）</w:t>
            </w:r>
          </w:p>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24.培育绿色技术交易中介机构（2019-2022年）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21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444444"/>
                <w:sz w:val="18"/>
                <w:szCs w:val="18"/>
                <w:u w:val="none"/>
              </w:rPr>
            </w:pPr>
          </w:p>
        </w:tc>
        <w:tc>
          <w:tcPr>
            <w:tcW w:w="2163"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left"/>
              <w:rPr>
                <w:rFonts w:hint="default"/>
                <w:sz w:val="18"/>
                <w:szCs w:val="18"/>
              </w:rPr>
            </w:pPr>
            <w:r>
              <w:rPr>
                <w:rFonts w:hint="eastAsia" w:ascii="宋体" w:hAnsi="宋体" w:eastAsia="宋体" w:cs="宋体"/>
                <w:color w:val="444444"/>
                <w:sz w:val="18"/>
                <w:szCs w:val="18"/>
                <w:u w:val="none"/>
              </w:rPr>
              <w:t>10.完善绿色技术创新成果转化机制</w:t>
            </w:r>
          </w:p>
        </w:tc>
        <w:tc>
          <w:tcPr>
            <w:tcW w:w="2708"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科技部、国家发展改革委、工业和信息化部、住房城乡建设部</w:t>
            </w:r>
          </w:p>
        </w:tc>
        <w:tc>
          <w:tcPr>
            <w:tcW w:w="4892"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25.落实首台（套）重大技术装备示范应用政策措施（2020年）</w:t>
            </w:r>
          </w:p>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26.实施一批国家科技成果转化引导基金支持绿色技术创新成果转化应用项目（2019-2022年）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21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444444"/>
                <w:sz w:val="18"/>
                <w:szCs w:val="18"/>
                <w:u w:val="none"/>
              </w:rPr>
            </w:pPr>
          </w:p>
        </w:tc>
        <w:tc>
          <w:tcPr>
            <w:tcW w:w="2163"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left"/>
              <w:rPr>
                <w:rFonts w:hint="default"/>
                <w:sz w:val="18"/>
                <w:szCs w:val="18"/>
              </w:rPr>
            </w:pPr>
            <w:r>
              <w:rPr>
                <w:rFonts w:hint="eastAsia" w:ascii="宋体" w:hAnsi="宋体" w:eastAsia="宋体" w:cs="宋体"/>
                <w:color w:val="444444"/>
                <w:sz w:val="18"/>
                <w:szCs w:val="18"/>
                <w:u w:val="none"/>
              </w:rPr>
              <w:t>11.强化绿色技术创新转移转化综合示范</w:t>
            </w:r>
          </w:p>
        </w:tc>
        <w:tc>
          <w:tcPr>
            <w:tcW w:w="2708"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科技部、国家发展改革委、住房城乡建设部</w:t>
            </w:r>
          </w:p>
        </w:tc>
        <w:tc>
          <w:tcPr>
            <w:tcW w:w="4892"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27.建立一批绿色技术创新综合示范区、“园中园”、绿色生态城市（2019-2022年）</w:t>
            </w:r>
          </w:p>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28.制定绿色技术创新示范区考核评价办法（2020年）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215" w:type="dxa"/>
            <w:vMerge w:val="restart"/>
            <w:tcBorders>
              <w:top w:val="nil"/>
              <w:left w:val="single" w:color="000000" w:sz="4" w:space="0"/>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四、优化绿色技术创新环境</w:t>
            </w:r>
          </w:p>
        </w:tc>
        <w:tc>
          <w:tcPr>
            <w:tcW w:w="2163"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left"/>
              <w:rPr>
                <w:rFonts w:hint="default"/>
                <w:sz w:val="18"/>
                <w:szCs w:val="18"/>
              </w:rPr>
            </w:pPr>
            <w:r>
              <w:rPr>
                <w:rFonts w:hint="eastAsia" w:ascii="宋体" w:hAnsi="宋体" w:eastAsia="宋体" w:cs="宋体"/>
                <w:color w:val="444444"/>
                <w:sz w:val="18"/>
                <w:szCs w:val="18"/>
                <w:u w:val="none"/>
              </w:rPr>
              <w:t>12.强化绿色技术知识产权保护与服务</w:t>
            </w:r>
          </w:p>
        </w:tc>
        <w:tc>
          <w:tcPr>
            <w:tcW w:w="2708"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国家知识产权局</w:t>
            </w:r>
          </w:p>
        </w:tc>
        <w:tc>
          <w:tcPr>
            <w:tcW w:w="4892"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29.组织开展打击侵犯绿色技术知识产权专项行动（2019-2022年）</w:t>
            </w:r>
          </w:p>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30.建立绿色技术知识产权侵权行为信用管理制度（2020年）</w:t>
            </w:r>
          </w:p>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31.推进建立绿色技术知识产权审查“快速通道”（2020年）</w:t>
            </w:r>
          </w:p>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32.完善绿色技术知识产权统计监测（2019-2022年）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21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444444"/>
                <w:sz w:val="18"/>
                <w:szCs w:val="18"/>
                <w:u w:val="none"/>
              </w:rPr>
            </w:pPr>
          </w:p>
        </w:tc>
        <w:tc>
          <w:tcPr>
            <w:tcW w:w="2163"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left"/>
              <w:rPr>
                <w:rFonts w:hint="default"/>
                <w:sz w:val="18"/>
                <w:szCs w:val="18"/>
              </w:rPr>
            </w:pPr>
            <w:r>
              <w:rPr>
                <w:rFonts w:hint="eastAsia" w:ascii="宋体" w:hAnsi="宋体" w:eastAsia="宋体" w:cs="宋体"/>
                <w:color w:val="444444"/>
                <w:sz w:val="18"/>
                <w:szCs w:val="18"/>
                <w:u w:val="none"/>
              </w:rPr>
              <w:t>13.加强绿色技术创新金融支持</w:t>
            </w:r>
          </w:p>
        </w:tc>
        <w:tc>
          <w:tcPr>
            <w:tcW w:w="2708"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中国人民银行、国家发展改革委、中国银保监会、中国证监会</w:t>
            </w:r>
          </w:p>
        </w:tc>
        <w:tc>
          <w:tcPr>
            <w:tcW w:w="4892"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33.制定公募和私募基金绿色投资标准和行为指引（2020年）</w:t>
            </w:r>
          </w:p>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34.加大对绿色技术创新的金融支持力度（2019-2022年）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121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444444"/>
                <w:sz w:val="18"/>
                <w:szCs w:val="18"/>
                <w:u w:val="none"/>
              </w:rPr>
            </w:pPr>
          </w:p>
        </w:tc>
        <w:tc>
          <w:tcPr>
            <w:tcW w:w="2163"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left"/>
              <w:rPr>
                <w:rFonts w:hint="default"/>
                <w:sz w:val="18"/>
                <w:szCs w:val="18"/>
              </w:rPr>
            </w:pPr>
            <w:r>
              <w:rPr>
                <w:rFonts w:hint="eastAsia" w:ascii="宋体" w:hAnsi="宋体" w:eastAsia="宋体" w:cs="宋体"/>
                <w:color w:val="444444"/>
                <w:sz w:val="18"/>
                <w:szCs w:val="18"/>
                <w:u w:val="none"/>
              </w:rPr>
              <w:t>14.推进全社会绿色技术创新</w:t>
            </w:r>
          </w:p>
        </w:tc>
        <w:tc>
          <w:tcPr>
            <w:tcW w:w="2708"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科技部、国家发展改革委、生态环境部、住房城乡建设部</w:t>
            </w:r>
          </w:p>
        </w:tc>
        <w:tc>
          <w:tcPr>
            <w:tcW w:w="4892"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35.组织绿色技术创新创业大赛（2019-2022年）</w:t>
            </w:r>
          </w:p>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36.建立一批绿色技术众创空间（2019-2022年）</w:t>
            </w:r>
          </w:p>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37.推广绿色技术创新典型案例（2019-2022年）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215" w:type="dxa"/>
            <w:vMerge w:val="restart"/>
            <w:tcBorders>
              <w:top w:val="nil"/>
              <w:left w:val="single" w:color="000000" w:sz="4" w:space="0"/>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五、加强绿色技术创新对外开放与国际合作</w:t>
            </w:r>
          </w:p>
        </w:tc>
        <w:tc>
          <w:tcPr>
            <w:tcW w:w="2163"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left"/>
              <w:rPr>
                <w:rFonts w:hint="default"/>
                <w:sz w:val="18"/>
                <w:szCs w:val="18"/>
              </w:rPr>
            </w:pPr>
            <w:r>
              <w:rPr>
                <w:rFonts w:hint="eastAsia" w:ascii="宋体" w:hAnsi="宋体" w:eastAsia="宋体" w:cs="宋体"/>
                <w:color w:val="444444"/>
                <w:sz w:val="18"/>
                <w:szCs w:val="18"/>
                <w:u w:val="none"/>
              </w:rPr>
              <w:t>15.深化绿色技术创新国际合作</w:t>
            </w:r>
          </w:p>
        </w:tc>
        <w:tc>
          <w:tcPr>
            <w:tcW w:w="2708"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科技部、国家发展改革委、生态环境部</w:t>
            </w:r>
          </w:p>
        </w:tc>
        <w:tc>
          <w:tcPr>
            <w:tcW w:w="4892"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38.建立“一带一路”绿色技术创新联盟（2020年）</w:t>
            </w:r>
          </w:p>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39.通过博览会、论坛等形式促进绿色技术国际传播（2019-2022年）</w:t>
            </w:r>
          </w:p>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40.开展国际十大最佳绿色技术和十大最佳绿色技术应用实践（“双十佳”）评选（2019-2022年）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21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444444"/>
                <w:sz w:val="18"/>
                <w:szCs w:val="18"/>
                <w:u w:val="none"/>
              </w:rPr>
            </w:pPr>
          </w:p>
        </w:tc>
        <w:tc>
          <w:tcPr>
            <w:tcW w:w="2163"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left"/>
              <w:rPr>
                <w:rFonts w:hint="default"/>
                <w:sz w:val="18"/>
                <w:szCs w:val="18"/>
              </w:rPr>
            </w:pPr>
            <w:r>
              <w:rPr>
                <w:rFonts w:hint="eastAsia" w:ascii="宋体" w:hAnsi="宋体" w:eastAsia="宋体" w:cs="宋体"/>
                <w:color w:val="444444"/>
                <w:sz w:val="18"/>
                <w:szCs w:val="18"/>
                <w:u w:val="none"/>
              </w:rPr>
              <w:t>16.加大绿色技术创新对外开放</w:t>
            </w:r>
          </w:p>
        </w:tc>
        <w:tc>
          <w:tcPr>
            <w:tcW w:w="2708"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科技部、国家发展改革委、商务部、工业和信息化部、生态环境部、住房城乡建设部</w:t>
            </w:r>
          </w:p>
        </w:tc>
        <w:tc>
          <w:tcPr>
            <w:tcW w:w="4892"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41.健全鼓励国外绿色技术成果在国内转化落地的政策（2020年）</w:t>
            </w:r>
          </w:p>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42.采用“园中园”模式在国家级经济技术开发区等建设国际合作生态园区（2020年）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六、加强组织实施</w:t>
            </w:r>
          </w:p>
        </w:tc>
        <w:tc>
          <w:tcPr>
            <w:tcW w:w="2163"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left"/>
              <w:rPr>
                <w:rFonts w:hint="default"/>
                <w:sz w:val="18"/>
                <w:szCs w:val="18"/>
              </w:rPr>
            </w:pPr>
            <w:r>
              <w:rPr>
                <w:rFonts w:hint="eastAsia" w:ascii="宋体" w:hAnsi="宋体" w:eastAsia="宋体" w:cs="宋体"/>
                <w:color w:val="444444"/>
                <w:sz w:val="18"/>
                <w:szCs w:val="18"/>
                <w:u w:val="none"/>
              </w:rPr>
              <w:t>17.加强统筹协调和考核评价</w:t>
            </w:r>
          </w:p>
        </w:tc>
        <w:tc>
          <w:tcPr>
            <w:tcW w:w="2708"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科技部、国家发展改革委</w:t>
            </w:r>
          </w:p>
        </w:tc>
        <w:tc>
          <w:tcPr>
            <w:tcW w:w="4892" w:type="dxa"/>
            <w:tcBorders>
              <w:top w:val="single" w:color="000000" w:sz="4" w:space="0"/>
              <w:left w:val="nil"/>
              <w:bottom w:val="single" w:color="000000" w:sz="4" w:space="0"/>
              <w:right w:val="single" w:color="000000" w:sz="4" w:space="0"/>
            </w:tcBorders>
            <w:shd w:val="clear" w:color="auto" w:fill="auto"/>
            <w:vAlign w:val="center"/>
          </w:tcPr>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43.建立绿色技术创新部际协调机制（2019年）</w:t>
            </w:r>
          </w:p>
          <w:p>
            <w:pPr>
              <w:pStyle w:val="20"/>
              <w:keepNext w:val="0"/>
              <w:keepLines w:val="0"/>
              <w:widowControl/>
              <w:suppressLineNumbers w:val="0"/>
              <w:spacing w:before="0" w:beforeAutospacing="0" w:after="0" w:afterAutospacing="0" w:line="420" w:lineRule="atLeast"/>
              <w:ind w:left="0" w:right="0"/>
              <w:jc w:val="center"/>
              <w:rPr>
                <w:rFonts w:hint="default"/>
                <w:sz w:val="18"/>
                <w:szCs w:val="18"/>
              </w:rPr>
            </w:pPr>
            <w:r>
              <w:rPr>
                <w:rFonts w:hint="eastAsia" w:ascii="宋体" w:hAnsi="宋体" w:eastAsia="宋体" w:cs="宋体"/>
                <w:color w:val="444444"/>
                <w:sz w:val="18"/>
                <w:szCs w:val="18"/>
                <w:u w:val="none"/>
              </w:rPr>
              <w:t>44.开展绿色技术创新政策绩效评估，将绿色技术创新有关内容纳入创新驱动、生态文明等考核体系（2020年）</w:t>
            </w:r>
          </w:p>
        </w:tc>
      </w:tr>
    </w:tbl>
    <w:p>
      <w:pPr>
        <w:pStyle w:val="20"/>
        <w:keepNext w:val="0"/>
        <w:keepLines w:val="0"/>
        <w:widowControl/>
        <w:suppressLineNumbers w:val="0"/>
        <w:spacing w:before="0" w:beforeAutospacing="0" w:after="0" w:afterAutospacing="0" w:line="420" w:lineRule="atLeast"/>
        <w:ind w:left="0" w:right="0" w:firstLine="420"/>
        <w:jc w:val="left"/>
      </w:pPr>
      <w:r>
        <w:rPr>
          <w:rFonts w:hint="eastAsia" w:ascii="宋体" w:hAnsi="宋体" w:eastAsia="宋体" w:cs="宋体"/>
          <w:color w:val="333333"/>
          <w:sz w:val="21"/>
          <w:szCs w:val="21"/>
          <w:u w:val="none"/>
        </w:rPr>
        <w:t>注：牵头部门根据职责分工负责，参加部门由牵头部门确定。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Times New Roman"/>
          <w:b/>
          <w:bCs/>
          <w:kern w:val="2"/>
          <w:sz w:val="28"/>
          <w:szCs w:val="28"/>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Times New Roman"/>
          <w:b/>
          <w:bCs/>
          <w:kern w:val="2"/>
          <w:sz w:val="28"/>
          <w:szCs w:val="28"/>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Times New Roman"/>
          <w:b/>
          <w:bCs/>
          <w:kern w:val="2"/>
          <w:sz w:val="28"/>
          <w:szCs w:val="28"/>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Times New Roman"/>
          <w:b/>
          <w:bCs/>
          <w:kern w:val="2"/>
          <w:sz w:val="28"/>
          <w:szCs w:val="28"/>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Times New Roman"/>
          <w:b/>
          <w:bCs/>
          <w:kern w:val="2"/>
          <w:sz w:val="28"/>
          <w:szCs w:val="28"/>
          <w:lang w:val="en-US" w:eastAsia="zh-CN" w:bidi="ar-SA"/>
        </w:rPr>
      </w:pPr>
      <w:bookmarkStart w:id="121" w:name="_Toc18160"/>
      <w:r>
        <w:rPr>
          <w:rFonts w:hint="eastAsia" w:ascii="宋体" w:hAnsi="宋体" w:eastAsia="宋体" w:cs="Times New Roman"/>
          <w:b/>
          <w:bCs/>
          <w:kern w:val="2"/>
          <w:sz w:val="28"/>
          <w:szCs w:val="28"/>
          <w:lang w:val="en-US" w:eastAsia="zh-CN" w:bidi="ar-SA"/>
        </w:rPr>
        <w:t>工业和信息化部办公厅 财政部办公厅关于发布支持打造大中小企业融通型和专业资本集聚型创新创业特色载体工作指南的通知</w:t>
      </w:r>
      <w:bookmarkEnd w:id="121"/>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left"/>
        <w:rPr>
          <w:rFonts w:hint="eastAsia" w:ascii="宋体" w:hAnsi="宋体" w:eastAsia="宋体" w:cs="宋体"/>
          <w:i w:val="0"/>
          <w:caps w:val="0"/>
          <w:color w:val="070707"/>
          <w:spacing w:val="0"/>
          <w:sz w:val="16"/>
          <w:szCs w:val="16"/>
        </w:rPr>
      </w:pPr>
    </w:p>
    <w:p>
      <w:pPr>
        <w:pStyle w:val="20"/>
        <w:spacing w:before="0" w:beforeAutospacing="0" w:after="0" w:afterAutospacing="0" w:line="360" w:lineRule="auto"/>
        <w:jc w:val="both"/>
        <w:rPr>
          <w:rFonts w:hint="eastAsia"/>
          <w:sz w:val="21"/>
          <w:szCs w:val="21"/>
          <w:lang w:val="en-US" w:eastAsia="zh-CN"/>
        </w:rPr>
      </w:pPr>
      <w:r>
        <w:rPr>
          <w:rFonts w:hint="eastAsia"/>
          <w:sz w:val="21"/>
          <w:szCs w:val="21"/>
          <w:lang w:val="en-US" w:eastAsia="zh-CN"/>
        </w:rPr>
        <w:t>各省、自治区、直辖市及计划单列市、新疆生产建设兵团中小企业主管部门、财政厅（局）：</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为深入贯彻落实党中央、国务院关于推动创新创业高质量发展的决策部署，更好地指导各地打造大中小企业融通型和专业资本集聚型创新创业特色载体，按照《关于支持打造特色载体推动中小企业创新创业升级工作的通知》（财建〔</w:t>
      </w:r>
      <w:r>
        <w:rPr>
          <w:rFonts w:hint="default"/>
          <w:sz w:val="21"/>
          <w:szCs w:val="21"/>
          <w:lang w:val="en-US" w:eastAsia="zh-CN"/>
        </w:rPr>
        <w:t>2018</w:t>
      </w:r>
      <w:r>
        <w:rPr>
          <w:rFonts w:hint="eastAsia"/>
          <w:sz w:val="21"/>
          <w:szCs w:val="21"/>
          <w:lang w:val="en-US" w:eastAsia="zh-CN"/>
        </w:rPr>
        <w:t>〕</w:t>
      </w:r>
      <w:r>
        <w:rPr>
          <w:rFonts w:hint="default"/>
          <w:sz w:val="21"/>
          <w:szCs w:val="21"/>
          <w:lang w:val="en-US" w:eastAsia="zh-CN"/>
        </w:rPr>
        <w:t>408</w:t>
      </w:r>
      <w:r>
        <w:rPr>
          <w:rFonts w:hint="eastAsia"/>
          <w:sz w:val="21"/>
          <w:szCs w:val="21"/>
          <w:lang w:val="en-US" w:eastAsia="zh-CN"/>
        </w:rPr>
        <w:t>号，以下简称《通知》）要求，现将有关事项通知如下：</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一、重点任务</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小微企业创业创新基地、众创空间、孵化器是支撑创新创业的重要载体。各地应围绕支持中小企业创新发展，积极引导打造各具特色的创新创业特色载体，促进提升资源配置质量与效率，培育更多“专精特新”和“小巨人”企业。</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（一）着力支持引导创新创业特色载体向专业化精细化方向升级。一是着力引导创新创业特色载体聚焦实体经济领域，每个载体可在传统优势产业、战略新兴产业、高新技术产业、特色民族产业中选择</w:t>
      </w:r>
      <w:r>
        <w:rPr>
          <w:rFonts w:hint="default"/>
          <w:sz w:val="21"/>
          <w:szCs w:val="21"/>
          <w:lang w:val="en-US" w:eastAsia="zh-CN"/>
        </w:rPr>
        <w:t>1</w:t>
      </w:r>
      <w:r>
        <w:rPr>
          <w:rFonts w:hint="eastAsia"/>
          <w:sz w:val="21"/>
          <w:szCs w:val="21"/>
          <w:lang w:val="en-US" w:eastAsia="zh-CN"/>
        </w:rPr>
        <w:t>-</w:t>
      </w:r>
      <w:r>
        <w:rPr>
          <w:rFonts w:hint="default"/>
          <w:sz w:val="21"/>
          <w:szCs w:val="21"/>
          <w:lang w:val="en-US" w:eastAsia="zh-CN"/>
        </w:rPr>
        <w:t>2</w:t>
      </w:r>
      <w:r>
        <w:rPr>
          <w:rFonts w:hint="eastAsia"/>
          <w:sz w:val="21"/>
          <w:szCs w:val="21"/>
          <w:lang w:val="en-US" w:eastAsia="zh-CN"/>
        </w:rPr>
        <w:t>个区域重点产业，细分行业领域孵化培育中小企业，提升载体的产业资源整合能力，以产业链聚集创新链、打造价值链，更加精准服务实体经济。二是着力引导创新创业特色载体强化创新引领，集成和配置各类服务于企业创新的资源要素，特别是增加技术创新资源服务有效供给，提升孵化质量。三是着力引导创新创业特色载体采用市场化运作模式，引入专业化运营管理团队，构建建设运营主体与创新创业主体互利共赢的市场化机制，鼓励双方通过生产融通、股权融合、品牌嫁接等方式，实现共创共享、共生共赢。</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二）着力支持打造“龙头企业+孵化”的大中小企业融通型载体。大中小企业融通型载体的主要功能是基于产业生态、供应链协同、创新能力共享、信息驱动，在大企业与中小企业之间搭建资源共享、互利共赢的孵化服务平台。各地有关单位通过探索有效融通合作模式，改变传统的企业配套协作方式，推动一批行业龙头企业直接参与创新创业特色载体的建设运营或与载体深度合作，鼓励行业龙头企业内部职工入驻载体创业，并吸引产业链上具有创新潜力的团队或中小企业入驻载体创业。引导行业龙头企业在载体中创新采取各类互利共赢、风险分担方式，实现与中小企业在研发设计、检验检测、模型加工、中试生产、企业管理、物资采购、市场营销等方面的深度融通，促使在孵企业能够分享专业的设施设备、成熟的市场资源与渠道、先进的管理经验及模式等，引导在孵企业“专精特新”发展，促进行业龙头企业自身转型升级，创新发展的新资源、新动能。</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三）着力支持打造“投资+孵化”的专业资本集聚型载体。专业资本集聚型载体的主要功能是基于价值管理，在天使投资、创业投资、产业基金等专业投资管理团队与中小企业之间搭建以资本融通为主的孵化服务平台。各地有关单位通过创新融通合作机制，改变传统的重投资、轻服务模式，推动一批专业投资管理团队直接参与创新创业特色载体建设运营，充分发挥其行业敏锐性和资本运作、价值管理能力，提供投前、投中、投后全链条服务，为入驻的创新创业者搭建战略规划、财务咨询、培训交流、融资支持等平台；在战略决策、过程控制、财务规范、公司治理、投贷联动、并购扩张等方面为企业提供专业服务，融通优质资源；为具备成长潜力的在孵企业提供资源服务、股权投资支持，深入参与选投企业内部管理，不断提升入驻企业的商业价值，并从企业成长发展中提升自身的品牌影响力和经济效益。</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二、保障措施</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一）搭建国家级资源服务对接平台。国家中小企业发展基金等国家级政府投资基金建立投资管理机构与创新创业特色载体项目选投合作机制、子基金合作机制，助力种子期、初创期创新型企业成长壮大。“创客中国”中小企业创新创业大赛总决赛建立参赛优胜企业或团队与创新创业特色载体洽谈机制，推动优质项目在实体开发区落地孵化。国家中小企业公共服务示范平台向创新创业特色载体开放共享，推动线上线下跨区域服务。中小企业经营管理领军人才培训项目开设促进大中小企业融通发展主题班，提升企业经营管理人才素质。实体经济开发区内的国家小型微型企业创业创新示范基地积极承担创新创业特色载体建设任务，开发区外的示范基地因地制宜与载体就近开展合作，推动资源共享和协同服务。鼓励发达省份创新创业特色载体与中西部地区国家级、省级实体经济开发区加强合作，开展跨区域孵化服务，推动创新创业优质资源要素跨区域流动。</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二）搭建行业协会资源服务对接平台。鼓励行业协会充分发挥资源汇集优势，搭建行业资源与创新创业特色载体对接机制，促进生产资源要素在产业链上下游企业间高效流动。搭建专家智库资源服务对接平台，积极为企业提供技术指导、市场信息、同业交流等服务。与创新创业特色载体联合推动行业共性技术研发和创新，吸纳创新型中小企业参与行业标准和地方标准制定，带动行业创新力提升。</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三）搭建地方有关资源服务对接平台。省市各级中小企业主管部门应充分调动各方面资源、政策，支持引导载体为中小企业提供优质资源服务。推动省市各级中小企业公共服务平台加强协作，向创新创业特色载体开放共享，并推动各类创新创业服务券跨区域使用。推动省级国有企业与创新创业特色载体建立互动机制，促进大中小企业融通发展。推动实体经济开发区加强资源整合统筹，将区域资源服务与创新创业特色载体有效对接，提高创新创业特色载体服务质量和辐射带动作用。</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三、工作要求</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一）完善工作机制。根据《通知》确定的职责分工，财政部与工业和信息化部、科技部加强沟通，形成合力。地方中小企业主管部门应围绕打造大中小企业融通型、专业资本集聚型载体，与同级财政等部门、实体经济开发区建立会商交流机制，对执行中遇到的困难等及时沟通，协调推动解决；对涉及中央部门的意见建议及时反馈至工业和信息化部（中小企业局）。</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二）明确任务分工。省级中小企业主管部门围绕打造大中小企业融通型、专业资本集聚型载体，指导督促相关实体经济开发区按照上报的实施方案加快推进，动态跟踪工作进展，及时总结并在省内复制推广好经验好做法，及时会同有关部门协调解决出现的问题。省级财政部门要会同同级中小企业主管部门加强中央财政资金使用跟踪和绩效管理。</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相关实体经济开发区要按照实施方案确定的绩效目标，细化具体措施，加强区内政策统筹，做好区内和跨区资源服务对接；建立健全数据统计工作机制，于每个季度末</w:t>
      </w:r>
      <w:r>
        <w:rPr>
          <w:rFonts w:hint="default"/>
          <w:sz w:val="21"/>
          <w:szCs w:val="21"/>
          <w:lang w:val="en-US" w:eastAsia="zh-CN"/>
        </w:rPr>
        <w:t>10</w:t>
      </w:r>
      <w:r>
        <w:rPr>
          <w:rFonts w:hint="eastAsia"/>
          <w:sz w:val="21"/>
          <w:szCs w:val="21"/>
          <w:lang w:val="en-US" w:eastAsia="zh-CN"/>
        </w:rPr>
        <w:t>日内向省级中小企业主管部门报送工作进展情况、目标指标完成情况、实施成效等动态信息以及典型案例、经验做法等，年度总结报告与四季度相关信息材料一并报送。</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三）优化遴选机制。各省（区、市）财政部门应会同同级中小企业主管部门建立科学有效的遴选机制，筛选产业有特色、双创有氛围、工作有基础、升级有潜力的实体经济开发区作为推荐对象。实体经济开发区应选择在产业集聚度、资源聚集力、持续发展力、产出与效益、改革创新力以及辐射带动力等方面成效明显的创新创业特色载体，予以奖补激励，重点关注大中小企业融通型载体在融通服务、资源共享、价值再造等方面的效力，专业资本集聚型载体在资本运作、价值管理、增值服务等方面的效力。</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（四）调整完善方案。省级中小企业主管部门应组织相关实体经济开发区做好实施方案的完善工作，按照既定的目标任务细化具体措施。实施方案如作细化修改，应在中央财政资金首次下达的</w:t>
      </w:r>
      <w:r>
        <w:rPr>
          <w:rFonts w:hint="default"/>
          <w:sz w:val="21"/>
          <w:szCs w:val="21"/>
          <w:lang w:val="en-US" w:eastAsia="zh-CN"/>
        </w:rPr>
        <w:t>2</w:t>
      </w:r>
      <w:r>
        <w:rPr>
          <w:rFonts w:hint="eastAsia"/>
          <w:sz w:val="21"/>
          <w:szCs w:val="21"/>
          <w:lang w:val="en-US" w:eastAsia="zh-CN"/>
        </w:rPr>
        <w:t>个月内，会同同级财政部门及时报送工业和信息化部、财政部备案（附修改说明），同时抄送财政部驻当地财政监察专员办事处和同级科技部门等。备案后的实施方案作为后续跟踪、绩效管理的依据。</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五）规范资金使用。实体经济开发区应规范、科学、高效地使用中央财政奖补资金，不得将奖补资金用于开发区内道路、住房、楼堂馆所等公共基础设施建设，不得用于人员工资福利，不得用于本级财政平衡预算；要集中资金突出重点，建立有效的激励约束机制，支持引导载体提升可持续发展能力，拓展孵化服务功能和辐射范围，为中小企业提供市场化、专业化、精准化的资源和服务，孵化培育更多的“专精特新”中小企业。如发现有关部门及其工作人员在资金分配、项目审核等工作中存在违纪违法违规行为，按照国家有关规定处理。</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（六）组织信息报送。省级中小企业主管部门于每季度结束</w:t>
      </w:r>
      <w:r>
        <w:rPr>
          <w:rFonts w:hint="default"/>
          <w:sz w:val="21"/>
          <w:szCs w:val="21"/>
          <w:lang w:val="en-US" w:eastAsia="zh-CN"/>
        </w:rPr>
        <w:t>15</w:t>
      </w:r>
      <w:r>
        <w:rPr>
          <w:rFonts w:hint="eastAsia"/>
          <w:sz w:val="21"/>
          <w:szCs w:val="21"/>
          <w:lang w:val="en-US" w:eastAsia="zh-CN"/>
        </w:rPr>
        <w:t>个工作日内，向工业和信息化部报送《工作动态信息》和《载体绩效目标表》（见附件</w:t>
      </w:r>
      <w:r>
        <w:rPr>
          <w:rFonts w:hint="default"/>
          <w:sz w:val="21"/>
          <w:szCs w:val="21"/>
          <w:lang w:val="en-US" w:eastAsia="zh-CN"/>
        </w:rPr>
        <w:t>1</w:t>
      </w:r>
      <w:r>
        <w:rPr>
          <w:rFonts w:hint="eastAsia"/>
          <w:sz w:val="21"/>
          <w:szCs w:val="21"/>
          <w:lang w:val="en-US" w:eastAsia="zh-CN"/>
        </w:rPr>
        <w:t>、附件</w:t>
      </w:r>
      <w:r>
        <w:rPr>
          <w:rFonts w:hint="default"/>
          <w:sz w:val="21"/>
          <w:szCs w:val="21"/>
          <w:lang w:val="en-US" w:eastAsia="zh-CN"/>
        </w:rPr>
        <w:t>2</w:t>
      </w:r>
      <w:r>
        <w:rPr>
          <w:rFonts w:hint="eastAsia"/>
          <w:sz w:val="21"/>
          <w:szCs w:val="21"/>
          <w:lang w:val="en-US" w:eastAsia="zh-CN"/>
        </w:rPr>
        <w:t>）（含电子版），纸质版应加盖中小企业主管部门公章（一式两份），同时抄送省级财政、科技部门和财政部驻当地财政监察专员办事处。其中，每年年度总结报告与四季度相关信息材料一并报送（提纲见附件</w:t>
      </w:r>
      <w:r>
        <w:rPr>
          <w:rFonts w:hint="default"/>
          <w:sz w:val="21"/>
          <w:szCs w:val="21"/>
          <w:lang w:val="en-US" w:eastAsia="zh-CN"/>
        </w:rPr>
        <w:t>3</w:t>
      </w:r>
      <w:r>
        <w:rPr>
          <w:rFonts w:hint="eastAsia"/>
          <w:sz w:val="21"/>
          <w:szCs w:val="21"/>
          <w:lang w:val="en-US" w:eastAsia="zh-CN"/>
        </w:rPr>
        <w:t>）。</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附件：</w:t>
      </w:r>
      <w:r>
        <w:rPr>
          <w:rFonts w:hint="default"/>
          <w:sz w:val="21"/>
          <w:szCs w:val="21"/>
          <w:lang w:val="en-US" w:eastAsia="zh-CN"/>
        </w:rPr>
        <w:t>1</w:t>
      </w:r>
      <w:r>
        <w:rPr>
          <w:rFonts w:hint="eastAsia"/>
          <w:sz w:val="21"/>
          <w:szCs w:val="21"/>
          <w:lang w:val="en-US" w:eastAsia="zh-CN"/>
        </w:rPr>
        <w:t>.</w:t>
      </w:r>
      <w:r>
        <w:rPr>
          <w:rFonts w:hint="eastAsia"/>
          <w:sz w:val="21"/>
          <w:szCs w:val="21"/>
          <w:lang w:val="en-US" w:eastAsia="zh-CN"/>
        </w:rPr>
        <w:fldChar w:fldCharType="begin"/>
      </w:r>
      <w:r>
        <w:rPr>
          <w:rFonts w:hint="eastAsia"/>
          <w:sz w:val="21"/>
          <w:szCs w:val="21"/>
          <w:lang w:val="en-US" w:eastAsia="zh-CN"/>
        </w:rPr>
        <w:instrText xml:space="preserve"> HYPERLINK "http://www.miit.gov.cn/n1146285/n1146352/n3054355/n3057527/n3057538/c6809374/part/6809385.wps" </w:instrText>
      </w:r>
      <w:r>
        <w:rPr>
          <w:rFonts w:hint="eastAsia"/>
          <w:sz w:val="21"/>
          <w:szCs w:val="21"/>
          <w:lang w:val="en-US" w:eastAsia="zh-CN"/>
        </w:rPr>
        <w:fldChar w:fldCharType="separate"/>
      </w:r>
      <w:r>
        <w:rPr>
          <w:rFonts w:hint="eastAsia"/>
          <w:sz w:val="21"/>
          <w:szCs w:val="21"/>
          <w:lang w:val="en-US" w:eastAsia="zh-CN"/>
        </w:rPr>
        <w:t>大中小企业融通型载体绩效目标表</w:t>
      </w:r>
      <w:r>
        <w:rPr>
          <w:rFonts w:hint="eastAsia"/>
          <w:sz w:val="21"/>
          <w:szCs w:val="21"/>
          <w:lang w:val="en-US" w:eastAsia="zh-CN"/>
        </w:rPr>
        <w:fldChar w:fldCharType="end"/>
      </w:r>
      <w:r>
        <w:rPr>
          <w:rFonts w:hint="eastAsia"/>
          <w:sz w:val="21"/>
          <w:szCs w:val="21"/>
          <w:lang w:val="en-US" w:eastAsia="zh-CN"/>
        </w:rPr>
        <w:br w:type="textWrapping"/>
      </w:r>
      <w:r>
        <w:rPr>
          <w:rFonts w:hint="eastAsia"/>
          <w:sz w:val="21"/>
          <w:szCs w:val="21"/>
          <w:lang w:val="en-US" w:eastAsia="zh-CN"/>
        </w:rPr>
        <w:t>    </w:t>
      </w:r>
      <w:r>
        <w:rPr>
          <w:rFonts w:hint="default"/>
          <w:sz w:val="21"/>
          <w:szCs w:val="21"/>
          <w:lang w:val="en-US" w:eastAsia="zh-CN"/>
        </w:rPr>
        <w:t> 2</w:t>
      </w:r>
      <w:r>
        <w:rPr>
          <w:rFonts w:hint="eastAsia"/>
          <w:sz w:val="21"/>
          <w:szCs w:val="21"/>
          <w:lang w:val="en-US" w:eastAsia="zh-CN"/>
        </w:rPr>
        <w:t>.</w:t>
      </w:r>
      <w:r>
        <w:rPr>
          <w:rFonts w:hint="eastAsia"/>
          <w:sz w:val="21"/>
          <w:szCs w:val="21"/>
          <w:lang w:val="en-US" w:eastAsia="zh-CN"/>
        </w:rPr>
        <w:fldChar w:fldCharType="begin"/>
      </w:r>
      <w:r>
        <w:rPr>
          <w:rFonts w:hint="eastAsia"/>
          <w:sz w:val="21"/>
          <w:szCs w:val="21"/>
          <w:lang w:val="en-US" w:eastAsia="zh-CN"/>
        </w:rPr>
        <w:instrText xml:space="preserve"> HYPERLINK "http://www.miit.gov.cn/n1146285/n1146352/n3054355/n3057527/n3057538/c6809374/part/6809386.wps" </w:instrText>
      </w:r>
      <w:r>
        <w:rPr>
          <w:rFonts w:hint="eastAsia"/>
          <w:sz w:val="21"/>
          <w:szCs w:val="21"/>
          <w:lang w:val="en-US" w:eastAsia="zh-CN"/>
        </w:rPr>
        <w:fldChar w:fldCharType="separate"/>
      </w:r>
      <w:r>
        <w:rPr>
          <w:rFonts w:hint="eastAsia"/>
          <w:sz w:val="21"/>
          <w:szCs w:val="21"/>
          <w:lang w:val="en-US" w:eastAsia="zh-CN"/>
        </w:rPr>
        <w:t>专业资本集聚型载体绩效目标表</w:t>
      </w:r>
      <w:r>
        <w:rPr>
          <w:rFonts w:hint="eastAsia"/>
          <w:sz w:val="21"/>
          <w:szCs w:val="21"/>
          <w:lang w:val="en-US" w:eastAsia="zh-CN"/>
        </w:rPr>
        <w:fldChar w:fldCharType="end"/>
      </w:r>
      <w:r>
        <w:rPr>
          <w:rFonts w:hint="eastAsia"/>
          <w:sz w:val="21"/>
          <w:szCs w:val="21"/>
          <w:lang w:val="en-US" w:eastAsia="zh-CN"/>
        </w:rPr>
        <w:br w:type="textWrapping"/>
      </w:r>
      <w:r>
        <w:rPr>
          <w:rFonts w:hint="eastAsia"/>
          <w:sz w:val="21"/>
          <w:szCs w:val="21"/>
          <w:lang w:val="en-US" w:eastAsia="zh-CN"/>
        </w:rPr>
        <w:t>    </w:t>
      </w:r>
      <w:r>
        <w:rPr>
          <w:rFonts w:hint="default"/>
          <w:sz w:val="21"/>
          <w:szCs w:val="21"/>
          <w:lang w:val="en-US" w:eastAsia="zh-CN"/>
        </w:rPr>
        <w:t> 3</w:t>
      </w:r>
      <w:r>
        <w:rPr>
          <w:rFonts w:hint="eastAsia"/>
          <w:sz w:val="21"/>
          <w:szCs w:val="21"/>
          <w:lang w:val="en-US" w:eastAsia="zh-CN"/>
        </w:rPr>
        <w:t>.</w:t>
      </w:r>
      <w:r>
        <w:rPr>
          <w:rFonts w:hint="eastAsia"/>
          <w:sz w:val="21"/>
          <w:szCs w:val="21"/>
          <w:lang w:val="en-US" w:eastAsia="zh-CN"/>
        </w:rPr>
        <w:fldChar w:fldCharType="begin"/>
      </w:r>
      <w:r>
        <w:rPr>
          <w:rFonts w:hint="eastAsia"/>
          <w:sz w:val="21"/>
          <w:szCs w:val="21"/>
          <w:lang w:val="en-US" w:eastAsia="zh-CN"/>
        </w:rPr>
        <w:instrText xml:space="preserve"> HYPERLINK "http://www.miit.gov.cn/n1146285/n1146352/n3054355/n3057527/n3057538/c6809374/part/6809387.wps" </w:instrText>
      </w:r>
      <w:r>
        <w:rPr>
          <w:rFonts w:hint="eastAsia"/>
          <w:sz w:val="21"/>
          <w:szCs w:val="21"/>
          <w:lang w:val="en-US" w:eastAsia="zh-CN"/>
        </w:rPr>
        <w:fldChar w:fldCharType="separate"/>
      </w:r>
      <w:r>
        <w:rPr>
          <w:rFonts w:hint="eastAsia"/>
          <w:sz w:val="21"/>
          <w:szCs w:val="21"/>
          <w:lang w:val="en-US" w:eastAsia="zh-CN"/>
        </w:rPr>
        <w:t> 《特色载体总结报告》提纲</w:t>
      </w:r>
      <w:r>
        <w:rPr>
          <w:rFonts w:hint="eastAsia"/>
          <w:sz w:val="21"/>
          <w:szCs w:val="21"/>
          <w:lang w:val="en-US" w:eastAsia="zh-CN"/>
        </w:rPr>
        <w:fldChar w:fldCharType="end"/>
      </w:r>
      <w:r>
        <w:rPr>
          <w:rFonts w:hint="default"/>
          <w:sz w:val="21"/>
          <w:szCs w:val="21"/>
          <w:lang w:val="en-US" w:eastAsia="zh-CN"/>
        </w:rPr>
        <w:t>          </w:t>
      </w:r>
      <w:r>
        <w:rPr>
          <w:rFonts w:hint="default"/>
          <w:sz w:val="21"/>
          <w:szCs w:val="21"/>
          <w:lang w:val="en-US" w:eastAsia="zh-CN"/>
        </w:rPr>
        <w:br w:type="textWrapping"/>
      </w:r>
      <w:r>
        <w:rPr>
          <w:rFonts w:hint="default"/>
          <w:sz w:val="21"/>
          <w:szCs w:val="21"/>
          <w:lang w:val="en-US" w:eastAsia="zh-CN"/>
        </w:rPr>
        <w:t>     4</w:t>
      </w:r>
      <w:r>
        <w:rPr>
          <w:rFonts w:hint="eastAsia"/>
          <w:sz w:val="21"/>
          <w:szCs w:val="21"/>
          <w:lang w:val="en-US" w:eastAsia="zh-CN"/>
        </w:rPr>
        <w:t>.</w:t>
      </w:r>
      <w:r>
        <w:rPr>
          <w:rFonts w:hint="eastAsia"/>
          <w:sz w:val="21"/>
          <w:szCs w:val="21"/>
          <w:lang w:val="en-US" w:eastAsia="zh-CN"/>
        </w:rPr>
        <w:fldChar w:fldCharType="begin"/>
      </w:r>
      <w:r>
        <w:rPr>
          <w:rFonts w:hint="eastAsia"/>
          <w:sz w:val="21"/>
          <w:szCs w:val="21"/>
          <w:lang w:val="en-US" w:eastAsia="zh-CN"/>
        </w:rPr>
        <w:instrText xml:space="preserve"> HYPERLINK "http://www.miit.gov.cn/n1146285/n1146352/n3054355/n3057527/n3057538/c6809374/part/6809388.wps" </w:instrText>
      </w:r>
      <w:r>
        <w:rPr>
          <w:rFonts w:hint="eastAsia"/>
          <w:sz w:val="21"/>
          <w:szCs w:val="21"/>
          <w:lang w:val="en-US" w:eastAsia="zh-CN"/>
        </w:rPr>
        <w:fldChar w:fldCharType="separate"/>
      </w:r>
      <w:r>
        <w:rPr>
          <w:rFonts w:hint="eastAsia"/>
          <w:sz w:val="21"/>
          <w:szCs w:val="21"/>
          <w:lang w:val="en-US" w:eastAsia="zh-CN"/>
        </w:rPr>
        <w:t>特色载体信息报送联络人回执</w:t>
      </w:r>
      <w:r>
        <w:rPr>
          <w:rFonts w:hint="eastAsia"/>
          <w:sz w:val="21"/>
          <w:szCs w:val="21"/>
          <w:lang w:val="en-US" w:eastAsia="zh-CN"/>
        </w:rPr>
        <w:fldChar w:fldCharType="end"/>
      </w:r>
    </w:p>
    <w:p>
      <w:pPr>
        <w:pStyle w:val="20"/>
        <w:spacing w:before="0" w:beforeAutospacing="0" w:after="0" w:afterAutospacing="0" w:line="360" w:lineRule="auto"/>
        <w:ind w:left="0" w:leftChars="0" w:firstLine="420" w:firstLineChars="200"/>
        <w:jc w:val="right"/>
        <w:rPr>
          <w:rFonts w:hint="eastAsia"/>
          <w:sz w:val="21"/>
          <w:szCs w:val="21"/>
          <w:lang w:val="en-US" w:eastAsia="zh-CN"/>
        </w:rPr>
      </w:pPr>
      <w:r>
        <w:rPr>
          <w:rFonts w:hint="eastAsia"/>
          <w:sz w:val="21"/>
          <w:szCs w:val="21"/>
          <w:lang w:val="en-US" w:eastAsia="zh-CN"/>
        </w:rPr>
        <w:t>工业和信息化部办公厅</w:t>
      </w:r>
    </w:p>
    <w:p>
      <w:pPr>
        <w:pStyle w:val="20"/>
        <w:spacing w:before="0" w:beforeAutospacing="0" w:after="0" w:afterAutospacing="0" w:line="360" w:lineRule="auto"/>
        <w:ind w:left="0" w:leftChars="0" w:firstLine="420" w:firstLineChars="200"/>
        <w:jc w:val="right"/>
        <w:rPr>
          <w:rFonts w:hint="eastAsia"/>
          <w:sz w:val="21"/>
          <w:szCs w:val="21"/>
          <w:lang w:val="en-US" w:eastAsia="zh-CN"/>
        </w:rPr>
      </w:pPr>
      <w:r>
        <w:rPr>
          <w:rFonts w:hint="eastAsia"/>
          <w:sz w:val="21"/>
          <w:szCs w:val="21"/>
          <w:lang w:val="en-US" w:eastAsia="zh-CN"/>
        </w:rPr>
        <w:t>财政部办公厅</w:t>
      </w:r>
    </w:p>
    <w:p>
      <w:pPr>
        <w:pStyle w:val="20"/>
        <w:spacing w:before="0" w:beforeAutospacing="0" w:after="0" w:afterAutospacing="0" w:line="360" w:lineRule="auto"/>
        <w:ind w:left="0" w:leftChars="0" w:firstLine="420" w:firstLineChars="200"/>
        <w:jc w:val="right"/>
        <w:rPr>
          <w:rFonts w:hint="eastAsia"/>
          <w:sz w:val="21"/>
          <w:szCs w:val="21"/>
          <w:lang w:val="en-US" w:eastAsia="zh-CN"/>
        </w:rPr>
      </w:pPr>
      <w:r>
        <w:rPr>
          <w:rFonts w:hint="default"/>
          <w:sz w:val="21"/>
          <w:szCs w:val="21"/>
          <w:lang w:val="en-US" w:eastAsia="zh-CN"/>
        </w:rPr>
        <w:t>                            2019</w:t>
      </w:r>
      <w:r>
        <w:rPr>
          <w:rFonts w:hint="eastAsia"/>
          <w:sz w:val="21"/>
          <w:szCs w:val="21"/>
          <w:lang w:val="en-US" w:eastAsia="zh-CN"/>
        </w:rPr>
        <w:t>年</w:t>
      </w:r>
      <w:r>
        <w:rPr>
          <w:rFonts w:hint="default"/>
          <w:sz w:val="21"/>
          <w:szCs w:val="21"/>
          <w:lang w:val="en-US" w:eastAsia="zh-CN"/>
        </w:rPr>
        <w:t>4</w:t>
      </w:r>
      <w:r>
        <w:rPr>
          <w:rFonts w:hint="eastAsia"/>
          <w:sz w:val="21"/>
          <w:szCs w:val="21"/>
          <w:lang w:val="en-US" w:eastAsia="zh-CN"/>
        </w:rPr>
        <w:t>月</w:t>
      </w:r>
      <w:r>
        <w:rPr>
          <w:rFonts w:hint="default"/>
          <w:sz w:val="21"/>
          <w:szCs w:val="21"/>
          <w:lang w:val="en-US" w:eastAsia="zh-CN"/>
        </w:rPr>
        <w:t>22</w:t>
      </w:r>
      <w:r>
        <w:rPr>
          <w:rFonts w:hint="eastAsia"/>
          <w:sz w:val="21"/>
          <w:szCs w:val="21"/>
          <w:lang w:val="en-US" w:eastAsia="zh-CN"/>
        </w:rPr>
        <w:t>日</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p>
    <w:p>
      <w:pPr>
        <w:pStyle w:val="20"/>
        <w:spacing w:before="0" w:beforeAutospacing="0" w:after="0" w:afterAutospacing="0" w:line="360" w:lineRule="auto"/>
        <w:ind w:left="0" w:leftChars="0" w:firstLine="420" w:firstLineChars="200"/>
        <w:jc w:val="both"/>
        <w:rPr>
          <w:rFonts w:hint="default"/>
          <w:sz w:val="21"/>
          <w:szCs w:val="21"/>
          <w:lang w:val="en-US" w:eastAsia="zh-CN"/>
        </w:rPr>
      </w:pPr>
    </w:p>
    <w:p>
      <w:pPr>
        <w:pStyle w:val="20"/>
        <w:spacing w:before="0" w:beforeAutospacing="0" w:after="0" w:afterAutospacing="0" w:line="360" w:lineRule="auto"/>
        <w:ind w:left="0" w:leftChars="0" w:firstLine="420" w:firstLineChars="200"/>
        <w:jc w:val="both"/>
        <w:rPr>
          <w:rFonts w:hint="default"/>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line="480" w:lineRule="auto"/>
        <w:jc w:val="center"/>
        <w:textAlignment w:val="auto"/>
        <w:outlineLvl w:val="1"/>
        <w:rPr>
          <w:rFonts w:hint="eastAsia" w:ascii="宋体" w:hAnsi="宋体" w:eastAsia="宋体" w:cs="宋体"/>
          <w:b/>
          <w:bCs w:val="0"/>
          <w:color w:val="auto"/>
          <w:sz w:val="30"/>
          <w:szCs w:val="30"/>
        </w:rPr>
      </w:pPr>
      <w:bookmarkStart w:id="122" w:name="_Toc1241"/>
      <w:r>
        <w:rPr>
          <w:rFonts w:hint="eastAsia" w:ascii="宋体" w:hAnsi="宋体" w:eastAsia="宋体" w:cs="宋体"/>
          <w:b/>
          <w:bCs w:val="0"/>
          <w:color w:val="auto"/>
          <w:kern w:val="0"/>
          <w:sz w:val="30"/>
          <w:szCs w:val="30"/>
          <w:lang w:val="en-US" w:eastAsia="zh-CN" w:bidi="ar"/>
        </w:rPr>
        <w:t>关于扩大固定资产加速折旧优惠政策适用范围的公告</w:t>
      </w:r>
      <w:bookmarkEnd w:id="122"/>
      <w:r>
        <w:rPr>
          <w:rFonts w:hint="eastAsia" w:ascii="宋体" w:hAnsi="宋体" w:eastAsia="宋体" w:cs="宋体"/>
          <w:b/>
          <w:bCs w:val="0"/>
          <w:color w:val="auto"/>
          <w:kern w:val="0"/>
          <w:sz w:val="30"/>
          <w:szCs w:val="30"/>
          <w:lang w:val="en-US" w:eastAsia="zh-CN" w:bidi="ar"/>
        </w:rPr>
        <w:t xml:space="preserve"> </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jc w:val="center"/>
        <w:textAlignment w:val="auto"/>
        <w:outlineLvl w:val="1"/>
        <w:rPr>
          <w:rFonts w:hint="eastAsia" w:ascii="宋体" w:hAnsi="宋体" w:eastAsia="宋体" w:cs="宋体"/>
          <w:sz w:val="24"/>
          <w:szCs w:val="24"/>
        </w:rPr>
      </w:pPr>
      <w:bookmarkStart w:id="123" w:name="_Toc16369"/>
      <w:r>
        <w:rPr>
          <w:rFonts w:hint="eastAsia" w:ascii="宋体" w:hAnsi="宋体" w:eastAsia="宋体" w:cs="宋体"/>
          <w:sz w:val="24"/>
          <w:szCs w:val="24"/>
        </w:rPr>
        <w:t>财政部　税务总局公告2019年第66号</w:t>
      </w:r>
      <w:bookmarkEnd w:id="123"/>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为支持制造业企业加快技术改造和设备更新，现就有关固定资产加速折旧政策公告如下：</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一、自2019年1月1日起，适用《财政部 国家税务总局关于完善固定资产加速折旧企业所得税政策的通知》（财税〔2014〕75号）和《财政部 国家税务总局关于进一步完善固定资产加速折旧企业所得税政策的通知》（财税〔2015〕106号）规定固定资产加速折旧优惠的行业范围，扩大至全部制造业领域。</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二、制造业按照国家统计局《国民经济行业分类和代码（GB/T 4754-2017）》确定。今后国家有关部门更新国民经济行业分类和代码，从其规定。</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三、本公告发布前，制造业企业未享受固定资产加速折旧优惠的，可自本公告发布后在月（季）度预缴申报时享受优惠或在2019年度汇算清缴时享受优惠。</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特此公告。</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　　财政部     税务总局</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　　2019年4月23日</w:t>
      </w:r>
    </w:p>
    <w:p>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vanish/>
          <w:sz w:val="21"/>
          <w:szCs w:val="21"/>
        </w:rPr>
      </w:pPr>
      <w:r>
        <w:rPr>
          <w:rFonts w:hint="eastAsia" w:ascii="宋体" w:hAnsi="宋体" w:eastAsia="宋体" w:cs="宋体"/>
          <w:vanish/>
          <w:kern w:val="0"/>
          <w:sz w:val="21"/>
          <w:szCs w:val="21"/>
          <w:lang w:val="en-US" w:eastAsia="zh-CN" w:bidi="ar"/>
        </w:rPr>
        <w:t xml:space="preserve">  </w:t>
      </w:r>
    </w:p>
    <w:p>
      <w:pPr>
        <w:keepNext w:val="0"/>
        <w:keepLines w:val="0"/>
        <w:pageBreakBefore w:val="0"/>
        <w:widowControl/>
        <w:suppressLineNumbers w:val="0"/>
        <w:tabs>
          <w:tab w:val="left" w:pos="807"/>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vanish/>
          <w:sz w:val="21"/>
          <w:szCs w:val="21"/>
        </w:rPr>
      </w:pPr>
      <w:r>
        <w:rPr>
          <w:rFonts w:hint="eastAsia" w:ascii="宋体" w:hAnsi="宋体" w:eastAsia="宋体" w:cs="宋体"/>
          <w:vanish/>
          <w:sz w:val="21"/>
          <w:szCs w:val="21"/>
        </w:rPr>
        <w:t>附件下载:</w:t>
      </w:r>
      <w:r>
        <w:rPr>
          <w:vanish/>
          <w:sz w:val="21"/>
          <w:szCs w:val="21"/>
        </w:rPr>
        <w:tab/>
      </w:r>
      <w:r>
        <w:rPr>
          <w:rFonts w:hint="eastAsia" w:ascii="宋体" w:hAnsi="宋体" w:eastAsia="宋体" w:cs="宋体"/>
          <w:vanish/>
          <w:kern w:val="0"/>
          <w:sz w:val="21"/>
          <w:szCs w:val="21"/>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line="360" w:lineRule="auto"/>
        <w:jc w:val="center"/>
        <w:textAlignment w:val="auto"/>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snapToGrid/>
        <w:spacing w:before="0" w:beforeAutospacing="0" w:after="0" w:line="360" w:lineRule="auto"/>
        <w:jc w:val="center"/>
        <w:textAlignment w:val="auto"/>
        <w:rPr>
          <w:rFonts w:hint="eastAsia" w:ascii="宋体" w:hAnsi="宋体" w:eastAsia="宋体" w:cs="宋体"/>
          <w:sz w:val="21"/>
          <w:szCs w:val="21"/>
        </w:rPr>
      </w:pPr>
    </w:p>
    <w:p>
      <w:pPr>
        <w:pStyle w:val="20"/>
        <w:spacing w:before="0" w:beforeAutospacing="0" w:after="0" w:afterAutospacing="0" w:line="360" w:lineRule="auto"/>
        <w:ind w:left="0" w:leftChars="0" w:firstLine="420" w:firstLineChars="200"/>
        <w:jc w:val="both"/>
        <w:rPr>
          <w:rFonts w:hint="default"/>
          <w:sz w:val="21"/>
          <w:szCs w:val="21"/>
          <w:lang w:val="en-US" w:eastAsia="zh-CN"/>
        </w:rPr>
      </w:pPr>
    </w:p>
    <w:p>
      <w:pPr>
        <w:pStyle w:val="20"/>
        <w:spacing w:before="0" w:beforeAutospacing="0" w:after="0" w:afterAutospacing="0" w:line="360" w:lineRule="auto"/>
        <w:ind w:left="0" w:leftChars="0" w:firstLine="420" w:firstLineChars="200"/>
        <w:jc w:val="both"/>
        <w:rPr>
          <w:rFonts w:hint="default"/>
          <w:sz w:val="21"/>
          <w:szCs w:val="21"/>
          <w:lang w:val="en-US" w:eastAsia="zh-CN"/>
        </w:rPr>
      </w:pPr>
    </w:p>
    <w:p>
      <w:pPr>
        <w:pStyle w:val="20"/>
        <w:spacing w:before="0" w:beforeAutospacing="0" w:after="0" w:afterAutospacing="0" w:line="360" w:lineRule="auto"/>
        <w:ind w:left="0" w:leftChars="0" w:firstLine="420" w:firstLineChars="200"/>
        <w:jc w:val="both"/>
        <w:rPr>
          <w:rFonts w:hint="default"/>
          <w:sz w:val="21"/>
          <w:szCs w:val="21"/>
          <w:lang w:val="en-US" w:eastAsia="zh-CN"/>
        </w:rPr>
      </w:pPr>
    </w:p>
    <w:p>
      <w:pPr>
        <w:pStyle w:val="20"/>
        <w:spacing w:before="0" w:beforeAutospacing="0" w:after="0" w:afterAutospacing="0" w:line="360" w:lineRule="auto"/>
        <w:ind w:left="0" w:leftChars="0" w:firstLine="420" w:firstLineChars="200"/>
        <w:jc w:val="both"/>
        <w:rPr>
          <w:rFonts w:hint="default"/>
          <w:sz w:val="21"/>
          <w:szCs w:val="21"/>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outlineLvl w:val="1"/>
        <w:rPr>
          <w:rFonts w:hint="eastAsia" w:ascii="宋体" w:hAnsi="宋体" w:eastAsia="宋体" w:cs="Times New Roman"/>
          <w:b/>
          <w:bCs/>
          <w:kern w:val="2"/>
          <w:sz w:val="30"/>
          <w:szCs w:val="30"/>
          <w:lang w:val="en-US" w:eastAsia="zh-CN" w:bidi="ar-SA"/>
        </w:rPr>
      </w:pPr>
      <w:bookmarkStart w:id="124" w:name="_Toc26782"/>
      <w:r>
        <w:rPr>
          <w:rFonts w:hint="eastAsia" w:ascii="宋体" w:hAnsi="宋体" w:eastAsia="宋体" w:cs="Times New Roman"/>
          <w:b/>
          <w:bCs/>
          <w:kern w:val="2"/>
          <w:sz w:val="30"/>
          <w:szCs w:val="30"/>
          <w:lang w:val="en-US" w:eastAsia="zh-CN" w:bidi="ar-SA"/>
        </w:rPr>
        <w:t>工业和信息化部 国家市场监督管理总局 广东省人民政府关于举办第十六届中国国际中小企业博览会的通知</w:t>
      </w:r>
      <w:bookmarkEnd w:id="124"/>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outlineLvl w:val="1"/>
        <w:rPr>
          <w:rFonts w:hint="eastAsia" w:ascii="宋体" w:hAnsi="宋体" w:eastAsia="宋体" w:cs="Times New Roman"/>
          <w:b/>
          <w:bCs/>
          <w:color w:val="auto"/>
          <w:kern w:val="2"/>
          <w:sz w:val="24"/>
          <w:szCs w:val="24"/>
          <w:lang w:val="en-US" w:eastAsia="zh-CN" w:bidi="ar-SA"/>
        </w:rPr>
      </w:pPr>
      <w:bookmarkStart w:id="125" w:name="_Toc30565"/>
      <w:r>
        <w:rPr>
          <w:rFonts w:hint="eastAsia" w:ascii="宋体" w:hAnsi="宋体" w:eastAsia="宋体" w:cs="Times New Roman"/>
          <w:b/>
          <w:bCs/>
          <w:color w:val="auto"/>
          <w:kern w:val="2"/>
          <w:sz w:val="24"/>
          <w:szCs w:val="24"/>
          <w:lang w:val="en-US" w:eastAsia="zh-CN" w:bidi="ar-SA"/>
        </w:rPr>
        <w:t>工信部联企业[2019]87号</w:t>
      </w:r>
      <w:r>
        <w:rPr>
          <w:rFonts w:hint="eastAsia" w:ascii="宋体" w:hAnsi="宋体" w:eastAsia="宋体" w:cs="Times New Roman"/>
          <w:b/>
          <w:bCs/>
          <w:color w:val="auto"/>
          <w:kern w:val="2"/>
          <w:sz w:val="24"/>
          <w:szCs w:val="24"/>
          <w:lang w:val="en-US" w:eastAsia="zh-CN" w:bidi="ar-SA"/>
        </w:rPr>
        <w:br w:type="textWrapping"/>
      </w:r>
      <w:bookmarkEnd w:id="125"/>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outlineLvl w:val="1"/>
        <w:rPr>
          <w:rFonts w:hint="eastAsia"/>
          <w:b w:val="0"/>
          <w:bCs w:val="0"/>
          <w:sz w:val="21"/>
          <w:szCs w:val="21"/>
          <w:lang w:val="en-US" w:eastAsia="zh-CN"/>
        </w:rPr>
      </w:pPr>
      <w:bookmarkStart w:id="126" w:name="_Toc15597"/>
      <w:bookmarkStart w:id="127" w:name="_Toc7907"/>
      <w:bookmarkStart w:id="128" w:name="_Toc5870"/>
      <w:bookmarkStart w:id="129" w:name="_Toc24275"/>
      <w:bookmarkStart w:id="130" w:name="_Toc32759"/>
      <w:bookmarkStart w:id="131" w:name="_Toc4449"/>
      <w:bookmarkStart w:id="132" w:name="_Toc11413"/>
      <w:r>
        <w:rPr>
          <w:rFonts w:hint="eastAsia"/>
          <w:b w:val="0"/>
          <w:bCs w:val="0"/>
          <w:sz w:val="21"/>
          <w:szCs w:val="21"/>
          <w:lang w:val="en-US" w:eastAsia="zh-CN"/>
        </w:rPr>
        <w:t>各省、自治区、直辖市及计划单列市人民政府，新疆生产建设兵团，有关行业协会（联合会、商会），有关单位：</w:t>
      </w:r>
      <w:bookmarkEnd w:id="126"/>
      <w:bookmarkEnd w:id="127"/>
      <w:bookmarkEnd w:id="128"/>
      <w:bookmarkEnd w:id="129"/>
      <w:bookmarkEnd w:id="130"/>
      <w:bookmarkEnd w:id="131"/>
      <w:bookmarkEnd w:id="132"/>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中国国际中小企业博览会是经国务院批准、专门服务于中小企业发展的大型国际展会。工业和信息化部、国家市场监督管理总局、广东省人民政府定于</w:t>
      </w:r>
      <w:r>
        <w:rPr>
          <w:rFonts w:hint="default"/>
          <w:sz w:val="21"/>
          <w:szCs w:val="21"/>
          <w:lang w:val="en-US" w:eastAsia="zh-CN"/>
        </w:rPr>
        <w:t>2019</w:t>
      </w:r>
      <w:r>
        <w:rPr>
          <w:rFonts w:hint="eastAsia"/>
          <w:sz w:val="21"/>
          <w:szCs w:val="21"/>
          <w:lang w:val="en-US" w:eastAsia="zh-CN"/>
        </w:rPr>
        <w:t>年</w:t>
      </w:r>
      <w:r>
        <w:rPr>
          <w:rFonts w:hint="default"/>
          <w:sz w:val="21"/>
          <w:szCs w:val="21"/>
          <w:lang w:val="en-US" w:eastAsia="zh-CN"/>
        </w:rPr>
        <w:t>6</w:t>
      </w:r>
      <w:r>
        <w:rPr>
          <w:rFonts w:hint="eastAsia"/>
          <w:sz w:val="21"/>
          <w:szCs w:val="21"/>
          <w:lang w:val="en-US" w:eastAsia="zh-CN"/>
        </w:rPr>
        <w:t>月</w:t>
      </w:r>
      <w:r>
        <w:rPr>
          <w:rFonts w:hint="default"/>
          <w:sz w:val="21"/>
          <w:szCs w:val="21"/>
          <w:lang w:val="en-US" w:eastAsia="zh-CN"/>
        </w:rPr>
        <w:t>24</w:t>
      </w:r>
      <w:r>
        <w:rPr>
          <w:rFonts w:hint="eastAsia"/>
          <w:sz w:val="21"/>
          <w:szCs w:val="21"/>
          <w:lang w:val="en-US" w:eastAsia="zh-CN"/>
        </w:rPr>
        <w:t>日至</w:t>
      </w:r>
      <w:r>
        <w:rPr>
          <w:rFonts w:hint="default"/>
          <w:sz w:val="21"/>
          <w:szCs w:val="21"/>
          <w:lang w:val="en-US" w:eastAsia="zh-CN"/>
        </w:rPr>
        <w:t>27</w:t>
      </w:r>
      <w:r>
        <w:rPr>
          <w:rFonts w:hint="eastAsia"/>
          <w:sz w:val="21"/>
          <w:szCs w:val="21"/>
          <w:lang w:val="en-US" w:eastAsia="zh-CN"/>
        </w:rPr>
        <w:t>日在广州联合主办第十六届中国国际中小企业博览会（以下简称中博会），联合国工业发展组织作为主宾方。为做好相关筹备工作，现将有关事项通知如下：</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一、办会宗旨</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深入贯彻党中央、国务院关于支持民营经济、中小企业发展的决策部署，全面落实《中华人民共和国中小企业促进法》《关于促进中小企业健康发展的指导意见》，为国内外中小企业搭建展示、交易、交流、合作的平台，推动我国中小企业与世界各国（地区）特别是“一带一路”沿线国家的交流与合作，积极推动我国中小企业融入国际产业链，促进中小企业高质量发展。</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二、办会主题</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加强合作，扩大交流，互利共赢，携手发展。</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三、办会原则</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不以营利为目的，政府推动和市场运作相结合。</w:t>
      </w:r>
    </w:p>
    <w:p>
      <w:pPr>
        <w:pStyle w:val="20"/>
        <w:tabs>
          <w:tab w:val="left" w:pos="8190"/>
        </w:tabs>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四、组织机构</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（一）主办单位</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工业和信息化部、国家市场监督管理总局、广东省人民政府。</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（二）主宾方</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联合国工业发展组织。</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（三）承办单位</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工业和信息化部中小企业局、国家市场监督管理总局登记注册局、广东省工业和信息化厅、联合国工业发展组织北京代表处。</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（四）协办单位</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中国中小企业发展促进中心、中国个体劳动者协会、香港贸易发展局、澳门贸易投资促进局。</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（五）成立第十六届中博会组织委员会（以下简称组委会），下设秘书处</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（六）执行单位</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中国国际中小企业博览会事务局。</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五、时间地点</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（一）主题展</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default"/>
          <w:sz w:val="21"/>
          <w:szCs w:val="21"/>
          <w:lang w:val="en-US" w:eastAsia="zh-CN"/>
        </w:rPr>
        <w:t>2019</w:t>
      </w:r>
      <w:r>
        <w:rPr>
          <w:rFonts w:hint="eastAsia"/>
          <w:sz w:val="21"/>
          <w:szCs w:val="21"/>
          <w:lang w:val="en-US" w:eastAsia="zh-CN"/>
        </w:rPr>
        <w:t>年</w:t>
      </w:r>
      <w:r>
        <w:rPr>
          <w:rFonts w:hint="default"/>
          <w:sz w:val="21"/>
          <w:szCs w:val="21"/>
          <w:lang w:val="en-US" w:eastAsia="zh-CN"/>
        </w:rPr>
        <w:t>6</w:t>
      </w:r>
      <w:r>
        <w:rPr>
          <w:rFonts w:hint="eastAsia"/>
          <w:sz w:val="21"/>
          <w:szCs w:val="21"/>
          <w:lang w:val="en-US" w:eastAsia="zh-CN"/>
        </w:rPr>
        <w:t>月</w:t>
      </w:r>
      <w:r>
        <w:rPr>
          <w:rFonts w:hint="default"/>
          <w:sz w:val="21"/>
          <w:szCs w:val="21"/>
          <w:lang w:val="en-US" w:eastAsia="zh-CN"/>
        </w:rPr>
        <w:t>24</w:t>
      </w:r>
      <w:r>
        <w:rPr>
          <w:rFonts w:hint="eastAsia"/>
          <w:sz w:val="21"/>
          <w:szCs w:val="21"/>
          <w:lang w:val="en-US" w:eastAsia="zh-CN"/>
        </w:rPr>
        <w:t>日至</w:t>
      </w:r>
      <w:r>
        <w:rPr>
          <w:rFonts w:hint="default"/>
          <w:sz w:val="21"/>
          <w:szCs w:val="21"/>
          <w:lang w:val="en-US" w:eastAsia="zh-CN"/>
        </w:rPr>
        <w:t>27</w:t>
      </w:r>
      <w:r>
        <w:rPr>
          <w:rFonts w:hint="eastAsia"/>
          <w:sz w:val="21"/>
          <w:szCs w:val="21"/>
          <w:lang w:val="en-US" w:eastAsia="zh-CN"/>
        </w:rPr>
        <w:t>日在中国进出口商品交易会展馆A区（广州市阅江中路</w:t>
      </w:r>
      <w:r>
        <w:rPr>
          <w:rFonts w:hint="default"/>
          <w:sz w:val="21"/>
          <w:szCs w:val="21"/>
          <w:lang w:val="en-US" w:eastAsia="zh-CN"/>
        </w:rPr>
        <w:t>380</w:t>
      </w:r>
      <w:r>
        <w:rPr>
          <w:rFonts w:hint="eastAsia"/>
          <w:sz w:val="21"/>
          <w:szCs w:val="21"/>
          <w:lang w:val="en-US" w:eastAsia="zh-CN"/>
        </w:rPr>
        <w:t>号）举办境外主题展（含主宾方展区、国际展区、港澳台展区），境内主题展（含省区市展区、跨境电商展区）。省区市展区由“专精特新”展区（含专精特新“小巨人”企业、国家小型微型企业创业创新示范基地孵化企业、国家中小企业发展基金投资的创新型小微企业、中小企业单项冠军等）、创新服务展区（含国家中小企业公共服务示范平台、技术转移机构、智能制造解决方案供应商、科技金融服务商、</w:t>
      </w:r>
      <w:r>
        <w:rPr>
          <w:rFonts w:hint="default"/>
          <w:sz w:val="21"/>
          <w:szCs w:val="21"/>
          <w:lang w:val="en-US" w:eastAsia="zh-CN"/>
        </w:rPr>
        <w:t>4</w:t>
      </w:r>
      <w:r>
        <w:rPr>
          <w:rFonts w:hint="eastAsia"/>
          <w:sz w:val="21"/>
          <w:szCs w:val="21"/>
          <w:lang w:val="en-US" w:eastAsia="zh-CN"/>
        </w:rPr>
        <w:t>K产业、</w:t>
      </w:r>
      <w:r>
        <w:rPr>
          <w:rFonts w:hint="default"/>
          <w:sz w:val="21"/>
          <w:szCs w:val="21"/>
          <w:lang w:val="en-US" w:eastAsia="zh-CN"/>
        </w:rPr>
        <w:t>5</w:t>
      </w:r>
      <w:r>
        <w:rPr>
          <w:rFonts w:hint="eastAsia"/>
          <w:sz w:val="21"/>
          <w:szCs w:val="21"/>
          <w:lang w:val="en-US" w:eastAsia="zh-CN"/>
        </w:rPr>
        <w:t>G为先导的通信技术提供商等）组成。跨境电商展区由广东亚太电子商务研究院牵头承办。</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（二）专业展</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在广东潭洲国际会展中心（佛山市顺德区工展路</w:t>
      </w:r>
      <w:r>
        <w:rPr>
          <w:rFonts w:hint="default"/>
          <w:sz w:val="21"/>
          <w:szCs w:val="21"/>
          <w:lang w:val="en-US" w:eastAsia="zh-CN"/>
        </w:rPr>
        <w:t>1</w:t>
      </w:r>
      <w:r>
        <w:rPr>
          <w:rFonts w:hint="eastAsia"/>
          <w:sz w:val="21"/>
          <w:szCs w:val="21"/>
          <w:lang w:val="en-US" w:eastAsia="zh-CN"/>
        </w:rPr>
        <w:t>号）分两期举办专业展。其中</w:t>
      </w:r>
      <w:r>
        <w:rPr>
          <w:rFonts w:hint="default"/>
          <w:sz w:val="21"/>
          <w:szCs w:val="21"/>
          <w:lang w:val="en-US" w:eastAsia="zh-CN"/>
        </w:rPr>
        <w:t>2019</w:t>
      </w:r>
      <w:r>
        <w:rPr>
          <w:rFonts w:hint="eastAsia"/>
          <w:sz w:val="21"/>
          <w:szCs w:val="21"/>
          <w:lang w:val="en-US" w:eastAsia="zh-CN"/>
        </w:rPr>
        <w:t>年</w:t>
      </w:r>
      <w:r>
        <w:rPr>
          <w:rFonts w:hint="default"/>
          <w:sz w:val="21"/>
          <w:szCs w:val="21"/>
          <w:lang w:val="en-US" w:eastAsia="zh-CN"/>
        </w:rPr>
        <w:t>3</w:t>
      </w:r>
      <w:r>
        <w:rPr>
          <w:rFonts w:hint="eastAsia"/>
          <w:sz w:val="21"/>
          <w:szCs w:val="21"/>
          <w:lang w:val="en-US" w:eastAsia="zh-CN"/>
        </w:rPr>
        <w:t>月</w:t>
      </w:r>
      <w:r>
        <w:rPr>
          <w:rFonts w:hint="default"/>
          <w:sz w:val="21"/>
          <w:szCs w:val="21"/>
          <w:lang w:val="en-US" w:eastAsia="zh-CN"/>
        </w:rPr>
        <w:t>4</w:t>
      </w:r>
      <w:r>
        <w:rPr>
          <w:rFonts w:hint="eastAsia"/>
          <w:sz w:val="21"/>
          <w:szCs w:val="21"/>
          <w:lang w:val="en-US" w:eastAsia="zh-CN"/>
        </w:rPr>
        <w:t>日至</w:t>
      </w:r>
      <w:r>
        <w:rPr>
          <w:rFonts w:hint="default"/>
          <w:sz w:val="21"/>
          <w:szCs w:val="21"/>
          <w:lang w:val="en-US" w:eastAsia="zh-CN"/>
        </w:rPr>
        <w:t>6</w:t>
      </w:r>
      <w:r>
        <w:rPr>
          <w:rFonts w:hint="eastAsia"/>
          <w:sz w:val="21"/>
          <w:szCs w:val="21"/>
          <w:lang w:val="en-US" w:eastAsia="zh-CN"/>
        </w:rPr>
        <w:t>日举办智能家电展；</w:t>
      </w:r>
      <w:r>
        <w:rPr>
          <w:rFonts w:hint="default"/>
          <w:sz w:val="21"/>
          <w:szCs w:val="21"/>
          <w:lang w:val="en-US" w:eastAsia="zh-CN"/>
        </w:rPr>
        <w:t>2019</w:t>
      </w:r>
      <w:r>
        <w:rPr>
          <w:rFonts w:hint="eastAsia"/>
          <w:sz w:val="21"/>
          <w:szCs w:val="21"/>
          <w:lang w:val="en-US" w:eastAsia="zh-CN"/>
        </w:rPr>
        <w:t>年</w:t>
      </w:r>
      <w:r>
        <w:rPr>
          <w:rFonts w:hint="default"/>
          <w:sz w:val="21"/>
          <w:szCs w:val="21"/>
          <w:lang w:val="en-US" w:eastAsia="zh-CN"/>
        </w:rPr>
        <w:t>3</w:t>
      </w:r>
      <w:r>
        <w:rPr>
          <w:rFonts w:hint="eastAsia"/>
          <w:sz w:val="21"/>
          <w:szCs w:val="21"/>
          <w:lang w:val="en-US" w:eastAsia="zh-CN"/>
        </w:rPr>
        <w:t>月</w:t>
      </w:r>
      <w:r>
        <w:rPr>
          <w:rFonts w:hint="default"/>
          <w:sz w:val="21"/>
          <w:szCs w:val="21"/>
          <w:lang w:val="en-US" w:eastAsia="zh-CN"/>
        </w:rPr>
        <w:t>17</w:t>
      </w:r>
      <w:r>
        <w:rPr>
          <w:rFonts w:hint="eastAsia"/>
          <w:sz w:val="21"/>
          <w:szCs w:val="21"/>
          <w:lang w:val="en-US" w:eastAsia="zh-CN"/>
        </w:rPr>
        <w:t>日至</w:t>
      </w:r>
      <w:r>
        <w:rPr>
          <w:rFonts w:hint="default"/>
          <w:sz w:val="21"/>
          <w:szCs w:val="21"/>
          <w:lang w:val="en-US" w:eastAsia="zh-CN"/>
        </w:rPr>
        <w:t>20</w:t>
      </w:r>
      <w:r>
        <w:rPr>
          <w:rFonts w:hint="eastAsia"/>
          <w:sz w:val="21"/>
          <w:szCs w:val="21"/>
          <w:lang w:val="en-US" w:eastAsia="zh-CN"/>
        </w:rPr>
        <w:t>日举办国际家具展。</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六、展会规模</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规划展览面积约</w:t>
      </w:r>
      <w:r>
        <w:rPr>
          <w:rFonts w:hint="default"/>
          <w:sz w:val="21"/>
          <w:szCs w:val="21"/>
          <w:lang w:val="en-US" w:eastAsia="zh-CN"/>
        </w:rPr>
        <w:t>16</w:t>
      </w:r>
      <w:r>
        <w:rPr>
          <w:rFonts w:hint="eastAsia"/>
          <w:sz w:val="21"/>
          <w:szCs w:val="21"/>
          <w:lang w:val="en-US" w:eastAsia="zh-CN"/>
        </w:rPr>
        <w:t>万平方米，共设</w:t>
      </w:r>
      <w:r>
        <w:rPr>
          <w:rFonts w:hint="default"/>
          <w:sz w:val="21"/>
          <w:szCs w:val="21"/>
          <w:lang w:val="en-US" w:eastAsia="zh-CN"/>
        </w:rPr>
        <w:t>5700</w:t>
      </w:r>
      <w:r>
        <w:rPr>
          <w:rFonts w:hint="eastAsia"/>
          <w:sz w:val="21"/>
          <w:szCs w:val="21"/>
          <w:lang w:val="en-US" w:eastAsia="zh-CN"/>
        </w:rPr>
        <w:t>个国际标准展位。其中，中国进出口商品交易会展馆展览面积约</w:t>
      </w:r>
      <w:r>
        <w:rPr>
          <w:rFonts w:hint="default"/>
          <w:sz w:val="21"/>
          <w:szCs w:val="21"/>
          <w:lang w:val="en-US" w:eastAsia="zh-CN"/>
        </w:rPr>
        <w:t>6</w:t>
      </w:r>
      <w:r>
        <w:rPr>
          <w:rFonts w:hint="eastAsia"/>
          <w:sz w:val="21"/>
          <w:szCs w:val="21"/>
          <w:lang w:val="en-US" w:eastAsia="zh-CN"/>
        </w:rPr>
        <w:t>万平方米，共设</w:t>
      </w:r>
      <w:r>
        <w:rPr>
          <w:rFonts w:hint="default"/>
          <w:sz w:val="21"/>
          <w:szCs w:val="21"/>
          <w:lang w:val="en-US" w:eastAsia="zh-CN"/>
        </w:rPr>
        <w:t>2300</w:t>
      </w:r>
      <w:r>
        <w:rPr>
          <w:rFonts w:hint="eastAsia"/>
          <w:sz w:val="21"/>
          <w:szCs w:val="21"/>
          <w:lang w:val="en-US" w:eastAsia="zh-CN"/>
        </w:rPr>
        <w:t>个国际标准展位；广东潭洲国际会展中心展览面积约</w:t>
      </w:r>
      <w:r>
        <w:rPr>
          <w:rFonts w:hint="default"/>
          <w:sz w:val="21"/>
          <w:szCs w:val="21"/>
          <w:lang w:val="en-US" w:eastAsia="zh-CN"/>
        </w:rPr>
        <w:t>10</w:t>
      </w:r>
      <w:r>
        <w:rPr>
          <w:rFonts w:hint="eastAsia"/>
          <w:sz w:val="21"/>
          <w:szCs w:val="21"/>
          <w:lang w:val="en-US" w:eastAsia="zh-CN"/>
        </w:rPr>
        <w:t>万平方米，共设</w:t>
      </w:r>
      <w:r>
        <w:rPr>
          <w:rFonts w:hint="default"/>
          <w:sz w:val="21"/>
          <w:szCs w:val="21"/>
          <w:lang w:val="en-US" w:eastAsia="zh-CN"/>
        </w:rPr>
        <w:t>3400</w:t>
      </w:r>
      <w:r>
        <w:rPr>
          <w:rFonts w:hint="eastAsia"/>
          <w:sz w:val="21"/>
          <w:szCs w:val="21"/>
          <w:lang w:val="en-US" w:eastAsia="zh-CN"/>
        </w:rPr>
        <w:t>个国际标准展位。</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七、主要活动</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一）中小企业产品、技术、服务的展示、洽谈和交易活动。中外中小企业和服务机构共同参展，展示推广中小企业的品牌产品、先进技术及相关服务，开展洽谈、对接和交易活动。为进一步提高参展参会效果，根据参展、参会企业的需求，分类举办产品推介、技术推广、技术对接和产销洽谈等专项活动。</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二）中国中小企业高峰论坛。坚持新发展理念，针对当前中小企业发展的新趋势、新特点，邀请中国政府和主宾方官方代表、专家学者、企业家出席并就相关热点问题进行研讨，交流支持中小企业发展的政策措施及实践成果。</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（三）</w:t>
      </w:r>
      <w:r>
        <w:rPr>
          <w:rFonts w:hint="default"/>
          <w:sz w:val="21"/>
          <w:szCs w:val="21"/>
          <w:lang w:val="en-US" w:eastAsia="zh-CN"/>
        </w:rPr>
        <w:t>2019</w:t>
      </w:r>
      <w:r>
        <w:rPr>
          <w:rFonts w:hint="eastAsia"/>
          <w:sz w:val="21"/>
          <w:szCs w:val="21"/>
          <w:lang w:val="en-US" w:eastAsia="zh-CN"/>
        </w:rPr>
        <w:t>年中小微企业日大会。落实国家开展“中小微企业日”主题宣传活动要求，通过组织开展政策解读、发布重要消息、专家主题演讲、举办中小微企业发展分享活动等，营造全社会关心、支持中小微企业发展的良好氛围。</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（四）专场活动。举办系列专场活动，为中小企业提供实实在在的帮助。</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default"/>
          <w:sz w:val="21"/>
          <w:szCs w:val="21"/>
          <w:lang w:val="en-US" w:eastAsia="zh-CN"/>
        </w:rPr>
        <w:t>1</w:t>
      </w:r>
      <w:r>
        <w:rPr>
          <w:rFonts w:hint="eastAsia"/>
          <w:sz w:val="21"/>
          <w:szCs w:val="21"/>
          <w:lang w:val="en-US" w:eastAsia="zh-CN"/>
        </w:rPr>
        <w:t>.</w:t>
      </w:r>
      <w:r>
        <w:rPr>
          <w:rFonts w:hint="default"/>
          <w:sz w:val="21"/>
          <w:szCs w:val="21"/>
          <w:lang w:val="en-US" w:eastAsia="zh-CN"/>
        </w:rPr>
        <w:t> </w:t>
      </w:r>
      <w:r>
        <w:rPr>
          <w:rFonts w:hint="eastAsia"/>
          <w:sz w:val="21"/>
          <w:szCs w:val="21"/>
          <w:lang w:val="en-US" w:eastAsia="zh-CN"/>
        </w:rPr>
        <w:t>“专精特新”展区专场活动。为“专精特新”展区参展企业安排投融资服务、上市辅导、产品发布、企业路演、技术对接等一系列活动（承办单位：广东省中小企业发展促进会牵头）；</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default"/>
          <w:sz w:val="21"/>
          <w:szCs w:val="21"/>
          <w:lang w:val="en-US" w:eastAsia="zh-CN"/>
        </w:rPr>
        <w:t>2</w:t>
      </w:r>
      <w:r>
        <w:rPr>
          <w:rFonts w:hint="eastAsia"/>
          <w:sz w:val="21"/>
          <w:szCs w:val="21"/>
          <w:lang w:val="en-US" w:eastAsia="zh-CN"/>
        </w:rPr>
        <w:t>.中小企业投融资及跨境对接会（承办单位：中国银行广东省分行牵头）；</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default"/>
          <w:sz w:val="21"/>
          <w:szCs w:val="21"/>
          <w:lang w:val="en-US" w:eastAsia="zh-CN"/>
        </w:rPr>
        <w:t>3</w:t>
      </w:r>
      <w:r>
        <w:rPr>
          <w:rFonts w:hint="eastAsia"/>
          <w:sz w:val="21"/>
          <w:szCs w:val="21"/>
          <w:lang w:val="en-US" w:eastAsia="zh-CN"/>
        </w:rPr>
        <w:t>.</w:t>
      </w:r>
      <w:r>
        <w:rPr>
          <w:rFonts w:hint="default"/>
          <w:sz w:val="21"/>
          <w:szCs w:val="21"/>
          <w:lang w:val="en-US" w:eastAsia="zh-CN"/>
        </w:rPr>
        <w:t> </w:t>
      </w:r>
      <w:r>
        <w:rPr>
          <w:rFonts w:hint="eastAsia"/>
          <w:sz w:val="21"/>
          <w:szCs w:val="21"/>
          <w:lang w:val="en-US" w:eastAsia="zh-CN"/>
        </w:rPr>
        <w:t>“创客中国”大中小企业融通发展项目对接会（承办单位：工业和信息化部信息中心牵头）；</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default"/>
          <w:sz w:val="21"/>
          <w:szCs w:val="21"/>
          <w:lang w:val="en-US" w:eastAsia="zh-CN"/>
        </w:rPr>
        <w:t>4</w:t>
      </w:r>
      <w:r>
        <w:rPr>
          <w:rFonts w:hint="eastAsia"/>
          <w:sz w:val="21"/>
          <w:szCs w:val="21"/>
          <w:lang w:val="en-US" w:eastAsia="zh-CN"/>
        </w:rPr>
        <w:t>.“一带一路”专项行动——</w:t>
      </w:r>
      <w:r>
        <w:rPr>
          <w:rFonts w:hint="default"/>
          <w:sz w:val="21"/>
          <w:szCs w:val="21"/>
          <w:lang w:val="en-US" w:eastAsia="zh-CN"/>
        </w:rPr>
        <w:t>2019</w:t>
      </w:r>
      <w:r>
        <w:rPr>
          <w:rFonts w:hint="eastAsia"/>
          <w:sz w:val="21"/>
          <w:szCs w:val="21"/>
          <w:lang w:val="en-US" w:eastAsia="zh-CN"/>
        </w:rPr>
        <w:t>走进拉美活动（承办单位：中国国际贸易促进委员会培训中心、北京中小在线信息服务有限公司牵头）；</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default"/>
          <w:sz w:val="21"/>
          <w:szCs w:val="21"/>
          <w:lang w:val="en-US" w:eastAsia="zh-CN"/>
        </w:rPr>
        <w:t>5</w:t>
      </w:r>
      <w:r>
        <w:rPr>
          <w:rFonts w:hint="eastAsia"/>
          <w:sz w:val="21"/>
          <w:szCs w:val="21"/>
          <w:lang w:val="en-US" w:eastAsia="zh-CN"/>
        </w:rPr>
        <w:t>.中小企业经营管理领军人才培训计划——</w:t>
      </w:r>
      <w:r>
        <w:rPr>
          <w:rFonts w:hint="default"/>
          <w:sz w:val="21"/>
          <w:szCs w:val="21"/>
          <w:lang w:val="en-US" w:eastAsia="zh-CN"/>
        </w:rPr>
        <w:t>2019</w:t>
      </w:r>
      <w:r>
        <w:rPr>
          <w:rFonts w:hint="eastAsia"/>
          <w:sz w:val="21"/>
          <w:szCs w:val="21"/>
          <w:lang w:val="en-US" w:eastAsia="zh-CN"/>
        </w:rPr>
        <w:t>“人尽其才·智创未来”论坛（承办单位：工业和信息化部人才交流中心牵头）；</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default"/>
          <w:sz w:val="21"/>
          <w:szCs w:val="21"/>
          <w:lang w:val="en-US" w:eastAsia="zh-CN"/>
        </w:rPr>
        <w:t>6</w:t>
      </w:r>
      <w:r>
        <w:rPr>
          <w:rFonts w:hint="eastAsia"/>
          <w:sz w:val="21"/>
          <w:szCs w:val="21"/>
          <w:lang w:val="en-US" w:eastAsia="zh-CN"/>
        </w:rPr>
        <w:t>.促进中小微企业发展与落实联合国可持续发展目标研讨会（承办单位：工业和信息化部中小企业发展促进中心牵头）；</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default"/>
          <w:sz w:val="21"/>
          <w:szCs w:val="21"/>
          <w:lang w:val="en-US" w:eastAsia="zh-CN"/>
        </w:rPr>
        <w:t>7</w:t>
      </w:r>
      <w:r>
        <w:rPr>
          <w:rFonts w:hint="eastAsia"/>
          <w:sz w:val="21"/>
          <w:szCs w:val="21"/>
          <w:lang w:val="en-US" w:eastAsia="zh-CN"/>
        </w:rPr>
        <w:t>.中小企业投融资论坛暨投资路演活动——“资本市场助力中小企业创新发展”（承办单位：中国电子信息产业发展研究院、深圳证券交易所牵头）；</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default"/>
          <w:sz w:val="21"/>
          <w:szCs w:val="21"/>
          <w:lang w:val="en-US" w:eastAsia="zh-CN"/>
        </w:rPr>
        <w:t>8</w:t>
      </w:r>
      <w:r>
        <w:rPr>
          <w:rFonts w:hint="eastAsia"/>
          <w:sz w:val="21"/>
          <w:szCs w:val="21"/>
          <w:lang w:val="en-US" w:eastAsia="zh-CN"/>
        </w:rPr>
        <w:t>.中小企业信息化应用推广活动暨信息化论坛（承办单位：北京中小在线信息服务有限公司牵头）；</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default"/>
          <w:sz w:val="21"/>
          <w:szCs w:val="21"/>
          <w:lang w:val="en-US" w:eastAsia="zh-CN"/>
        </w:rPr>
        <w:t>9</w:t>
      </w:r>
      <w:r>
        <w:rPr>
          <w:rFonts w:hint="eastAsia"/>
          <w:sz w:val="21"/>
          <w:szCs w:val="21"/>
          <w:lang w:val="en-US" w:eastAsia="zh-CN"/>
        </w:rPr>
        <w:t>.节能技术改造与服务供需对接会（承办单位：国家节能中心牵头）;</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default"/>
          <w:sz w:val="21"/>
          <w:szCs w:val="21"/>
          <w:lang w:val="en-US" w:eastAsia="zh-CN"/>
        </w:rPr>
        <w:t>10</w:t>
      </w:r>
      <w:r>
        <w:rPr>
          <w:rFonts w:hint="eastAsia"/>
          <w:sz w:val="21"/>
          <w:szCs w:val="21"/>
          <w:lang w:val="en-US" w:eastAsia="zh-CN"/>
        </w:rPr>
        <w:t>.中外知名企业家交流会（承办单位：广东省企业联合会、广东省企业家协会牵头）。</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同时，结合各主题展、专业展的行业特点和企业需求，由组展单位组织一系列内容丰富、形式多样、对接精准、实效突出的论坛活动，推动优质资源向小微企业集聚，进一步丰富中博会的办展内涵，更好地服务参展参会企业代表。</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八、招展招商及布展</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一）招展。组织优秀中小企业和为中小企业提供服务的优秀服务机构、投资平台等参展。境外主题展由组委会秘书处负责招展，通过与各国（地区）商贸促进机构、中小企业主管部门、行（商）业协会以及国际组织合作，推介中博会，吸引各国（地区）优质产品和先进技术等参展。境外重点招展地区为</w:t>
      </w:r>
      <w:r>
        <w:rPr>
          <w:rFonts w:hint="default"/>
          <w:sz w:val="21"/>
          <w:szCs w:val="21"/>
          <w:lang w:val="en-US" w:eastAsia="zh-CN"/>
        </w:rPr>
        <w:t> </w:t>
      </w:r>
      <w:r>
        <w:rPr>
          <w:rFonts w:hint="eastAsia"/>
          <w:sz w:val="21"/>
          <w:szCs w:val="21"/>
          <w:lang w:val="en-US" w:eastAsia="zh-CN"/>
        </w:rPr>
        <w:t>“一带一路”沿线国家、亚欧会议成员国、中东欧国家、非洲国家、拉美国家、东南亚国家、港澳台等地区。省区市展由各省（区、市）中小企业主管部门组织动员有关企业、服务机构等参展；专业展按市场化运作方式，由组委会秘书处负责择优选择专业机构承办。</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二）招商。组委会秘书处负责统筹协调。主题展招商工作由组委会秘书处与专业机构合作，重点围绕“专精特新”展区、创新服务展区相关行业企业，针对性招募专业客商，并针对主题展行业分类举办产品供需对接会精准对接招商。专业展招商工作由专业展承办机构负责，招商方案报组委会秘书处审定。</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三）布展。布展工作由组委会秘书处统筹协调和专业承办机构具体实施相结合。布展工作力求主题鲜明、经济环保、简洁大方；现场服务充分考虑展商客商需求，确保服务质量和效果。境外展原则上按国家或地区布展；“专精特新”展区、创新服务展区分别按地区布展；跨境电商展和专业展按行业布展。境外主题展、省区市展布展工作由组委会秘书处统筹负责；跨境电商展和专业展布展工作由组委会秘书处协调，承办机构具体负责。</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九、网上中博会相关安排</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第十六届中博会期间，组委会秘书处将开通网上中博会，实现产品网上展示和会务服务等功能。网上中博会将按照展区分类，对信誉和质量优良的参展企业及产品进行线上展示，帮助参展企业持续拓展市场。各地要对参展企业及其展品的信誉和质量进行审核把关并指导参展企业完成报名及注册。</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请各有关单位高度重视、大力宣传、精心组织、积极参与，根据第十六届中博会展区规划要求，鼓励支持组织优秀中小企业和为中小企业提供服务的优秀服务机构参展参会，促进中小企业又好又快发展。</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有关招展、招商、布展、网上中博会、对接工作以及论坛活动具体安排，由有关部门和中博会组委会秘书处另行通知。</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联系单位：中国国际中小企业博览会组委会秘书处</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联系人及电话：周</w:t>
      </w:r>
      <w:r>
        <w:rPr>
          <w:rFonts w:hint="default"/>
          <w:sz w:val="21"/>
          <w:szCs w:val="21"/>
          <w:lang w:val="en-US" w:eastAsia="zh-CN"/>
        </w:rPr>
        <w:t>  </w:t>
      </w:r>
      <w:r>
        <w:rPr>
          <w:rFonts w:hint="eastAsia"/>
          <w:sz w:val="21"/>
          <w:szCs w:val="21"/>
          <w:lang w:val="en-US" w:eastAsia="zh-CN"/>
        </w:rPr>
        <w:t>健</w:t>
      </w:r>
      <w:r>
        <w:rPr>
          <w:rFonts w:hint="default"/>
          <w:sz w:val="21"/>
          <w:szCs w:val="21"/>
          <w:lang w:val="en-US" w:eastAsia="zh-CN"/>
        </w:rPr>
        <w:t>  010</w:t>
      </w:r>
      <w:r>
        <w:rPr>
          <w:rFonts w:hint="eastAsia"/>
          <w:sz w:val="21"/>
          <w:szCs w:val="21"/>
          <w:lang w:val="en-US" w:eastAsia="zh-CN"/>
        </w:rPr>
        <w:t>—</w:t>
      </w:r>
      <w:r>
        <w:rPr>
          <w:rFonts w:hint="default"/>
          <w:sz w:val="21"/>
          <w:szCs w:val="21"/>
          <w:lang w:val="en-US" w:eastAsia="zh-CN"/>
        </w:rPr>
        <w:t>68205306</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default"/>
          <w:sz w:val="21"/>
          <w:szCs w:val="21"/>
          <w:lang w:val="en-US" w:eastAsia="zh-CN"/>
        </w:rPr>
        <w:t>       </w:t>
      </w:r>
      <w:r>
        <w:rPr>
          <w:rFonts w:hint="eastAsia"/>
          <w:sz w:val="21"/>
          <w:szCs w:val="21"/>
          <w:lang w:val="en-US" w:eastAsia="zh-CN"/>
        </w:rPr>
        <w:t>袁</w:t>
      </w:r>
      <w:r>
        <w:rPr>
          <w:rFonts w:hint="default"/>
          <w:sz w:val="21"/>
          <w:szCs w:val="21"/>
          <w:lang w:val="en-US" w:eastAsia="zh-CN"/>
        </w:rPr>
        <w:t>  </w:t>
      </w:r>
      <w:r>
        <w:rPr>
          <w:rFonts w:hint="eastAsia"/>
          <w:sz w:val="21"/>
          <w:szCs w:val="21"/>
          <w:lang w:val="en-US" w:eastAsia="zh-CN"/>
        </w:rPr>
        <w:t>玲</w:t>
      </w:r>
      <w:r>
        <w:rPr>
          <w:rFonts w:hint="default"/>
          <w:sz w:val="21"/>
          <w:szCs w:val="21"/>
          <w:lang w:val="en-US" w:eastAsia="zh-CN"/>
        </w:rPr>
        <w:t>  010</w:t>
      </w:r>
      <w:r>
        <w:rPr>
          <w:rFonts w:hint="eastAsia"/>
          <w:sz w:val="21"/>
          <w:szCs w:val="21"/>
          <w:lang w:val="en-US" w:eastAsia="zh-CN"/>
        </w:rPr>
        <w:t>—</w:t>
      </w:r>
      <w:r>
        <w:rPr>
          <w:rFonts w:hint="default"/>
          <w:sz w:val="21"/>
          <w:szCs w:val="21"/>
          <w:lang w:val="en-US" w:eastAsia="zh-CN"/>
        </w:rPr>
        <w:t>88650779</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default"/>
          <w:sz w:val="21"/>
          <w:szCs w:val="21"/>
          <w:lang w:val="en-US" w:eastAsia="zh-CN"/>
        </w:rPr>
        <w:t>       </w:t>
      </w:r>
      <w:r>
        <w:rPr>
          <w:rFonts w:hint="eastAsia"/>
          <w:sz w:val="21"/>
          <w:szCs w:val="21"/>
          <w:lang w:val="en-US" w:eastAsia="zh-CN"/>
        </w:rPr>
        <w:t>王福秀</w:t>
      </w:r>
      <w:r>
        <w:rPr>
          <w:rFonts w:hint="default"/>
          <w:sz w:val="21"/>
          <w:szCs w:val="21"/>
          <w:lang w:val="en-US" w:eastAsia="zh-CN"/>
        </w:rPr>
        <w:t>  020</w:t>
      </w:r>
      <w:r>
        <w:rPr>
          <w:rFonts w:hint="eastAsia"/>
          <w:sz w:val="21"/>
          <w:szCs w:val="21"/>
          <w:lang w:val="en-US" w:eastAsia="zh-CN"/>
        </w:rPr>
        <w:t>—</w:t>
      </w:r>
      <w:r>
        <w:rPr>
          <w:rFonts w:hint="default"/>
          <w:sz w:val="21"/>
          <w:szCs w:val="21"/>
          <w:lang w:val="en-US" w:eastAsia="zh-CN"/>
        </w:rPr>
        <w:t>83137616</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传真：</w:t>
      </w:r>
      <w:r>
        <w:rPr>
          <w:rFonts w:hint="default"/>
          <w:sz w:val="21"/>
          <w:szCs w:val="21"/>
          <w:lang w:val="en-US" w:eastAsia="zh-CN"/>
        </w:rPr>
        <w:t>020</w:t>
      </w:r>
      <w:r>
        <w:rPr>
          <w:rFonts w:hint="eastAsia"/>
          <w:sz w:val="21"/>
          <w:szCs w:val="21"/>
          <w:lang w:val="en-US" w:eastAsia="zh-CN"/>
        </w:rPr>
        <w:t>—</w:t>
      </w:r>
      <w:r>
        <w:rPr>
          <w:rFonts w:hint="default"/>
          <w:sz w:val="21"/>
          <w:szCs w:val="21"/>
          <w:lang w:val="en-US" w:eastAsia="zh-CN"/>
        </w:rPr>
        <w:t>83137608</w:t>
      </w:r>
      <w:r>
        <w:rPr>
          <w:rFonts w:hint="eastAsia"/>
          <w:sz w:val="21"/>
          <w:szCs w:val="21"/>
          <w:lang w:val="en-US" w:eastAsia="zh-CN"/>
        </w:rPr>
        <w:t>（组委会秘书处）</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default"/>
          <w:sz w:val="21"/>
          <w:szCs w:val="21"/>
          <w:lang w:val="en-US" w:eastAsia="zh-CN"/>
        </w:rPr>
        <w:t>   010</w:t>
      </w:r>
      <w:r>
        <w:rPr>
          <w:rFonts w:hint="eastAsia"/>
          <w:sz w:val="21"/>
          <w:szCs w:val="21"/>
          <w:lang w:val="en-US" w:eastAsia="zh-CN"/>
        </w:rPr>
        <w:t>—</w:t>
      </w:r>
      <w:r>
        <w:rPr>
          <w:rFonts w:hint="default"/>
          <w:sz w:val="21"/>
          <w:szCs w:val="21"/>
          <w:lang w:val="en-US" w:eastAsia="zh-CN"/>
        </w:rPr>
        <w:t>66017331</w:t>
      </w:r>
      <w:r>
        <w:rPr>
          <w:rFonts w:hint="eastAsia"/>
          <w:sz w:val="21"/>
          <w:szCs w:val="21"/>
          <w:lang w:val="en-US" w:eastAsia="zh-CN"/>
        </w:rPr>
        <w:t>（工业和信息化部中小企业局）</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中博会网址：www.cismef.com.cn</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 </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 </w:t>
      </w:r>
    </w:p>
    <w:p>
      <w:pPr>
        <w:pStyle w:val="20"/>
        <w:spacing w:before="0" w:beforeAutospacing="0" w:after="0" w:afterAutospacing="0" w:line="360" w:lineRule="auto"/>
        <w:ind w:left="0" w:leftChars="0" w:firstLine="420" w:firstLineChars="200"/>
        <w:jc w:val="right"/>
        <w:rPr>
          <w:rFonts w:hint="eastAsia"/>
          <w:sz w:val="21"/>
          <w:szCs w:val="21"/>
          <w:lang w:val="en-US" w:eastAsia="zh-CN"/>
        </w:rPr>
      </w:pPr>
      <w:r>
        <w:rPr>
          <w:rFonts w:hint="eastAsia"/>
          <w:sz w:val="21"/>
          <w:szCs w:val="21"/>
          <w:lang w:val="en-US" w:eastAsia="zh-CN"/>
        </w:rPr>
        <w:t>工业和信息化部 国家市场监督管理总局</w:t>
      </w:r>
      <w:r>
        <w:rPr>
          <w:rFonts w:hint="default"/>
          <w:sz w:val="21"/>
          <w:szCs w:val="21"/>
          <w:lang w:val="en-US" w:eastAsia="zh-CN"/>
        </w:rPr>
        <w:t> </w:t>
      </w:r>
      <w:r>
        <w:rPr>
          <w:rFonts w:hint="eastAsia"/>
          <w:sz w:val="21"/>
          <w:szCs w:val="21"/>
          <w:lang w:val="en-US" w:eastAsia="zh-CN"/>
        </w:rPr>
        <w:t>广东省人民政府</w:t>
      </w:r>
    </w:p>
    <w:p>
      <w:pPr>
        <w:pStyle w:val="20"/>
        <w:spacing w:before="0" w:beforeAutospacing="0" w:after="0" w:afterAutospacing="0" w:line="360" w:lineRule="auto"/>
        <w:ind w:left="0" w:leftChars="0" w:firstLine="420" w:firstLineChars="200"/>
        <w:jc w:val="right"/>
        <w:rPr>
          <w:rFonts w:hint="eastAsia"/>
          <w:sz w:val="21"/>
          <w:szCs w:val="21"/>
          <w:lang w:val="en-US" w:eastAsia="zh-CN"/>
        </w:rPr>
      </w:pPr>
      <w:r>
        <w:rPr>
          <w:rFonts w:hint="default"/>
          <w:sz w:val="21"/>
          <w:szCs w:val="21"/>
          <w:lang w:val="en-US" w:eastAsia="zh-CN"/>
        </w:rPr>
        <w:t>                  2019</w:t>
      </w:r>
      <w:r>
        <w:rPr>
          <w:rFonts w:hint="eastAsia"/>
          <w:sz w:val="21"/>
          <w:szCs w:val="21"/>
          <w:lang w:val="en-US" w:eastAsia="zh-CN"/>
        </w:rPr>
        <w:t>年</w:t>
      </w:r>
      <w:r>
        <w:rPr>
          <w:rFonts w:hint="default"/>
          <w:sz w:val="21"/>
          <w:szCs w:val="21"/>
          <w:lang w:val="en-US" w:eastAsia="zh-CN"/>
        </w:rPr>
        <w:t>4</w:t>
      </w:r>
      <w:r>
        <w:rPr>
          <w:rFonts w:hint="eastAsia"/>
          <w:sz w:val="21"/>
          <w:szCs w:val="21"/>
          <w:lang w:val="en-US" w:eastAsia="zh-CN"/>
        </w:rPr>
        <w:t>月</w:t>
      </w:r>
      <w:r>
        <w:rPr>
          <w:rFonts w:hint="default"/>
          <w:sz w:val="21"/>
          <w:szCs w:val="21"/>
          <w:lang w:val="en-US" w:eastAsia="zh-CN"/>
        </w:rPr>
        <w:t>28</w:t>
      </w:r>
      <w:r>
        <w:rPr>
          <w:rFonts w:hint="eastAsia"/>
          <w:sz w:val="21"/>
          <w:szCs w:val="21"/>
          <w:lang w:val="en-US" w:eastAsia="zh-CN"/>
        </w:rPr>
        <w:t>日</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p>
    <w:p>
      <w:pPr>
        <w:pStyle w:val="20"/>
        <w:spacing w:before="0" w:beforeAutospacing="0" w:after="0" w:afterAutospacing="0" w:line="360" w:lineRule="auto"/>
        <w:ind w:left="0" w:leftChars="0" w:firstLine="420" w:firstLineChars="200"/>
        <w:jc w:val="both"/>
        <w:rPr>
          <w:rFonts w:hint="default"/>
          <w:sz w:val="21"/>
          <w:szCs w:val="21"/>
          <w:lang w:val="en-US" w:eastAsia="zh-CN"/>
        </w:rPr>
      </w:pPr>
    </w:p>
    <w:p>
      <w:pPr>
        <w:pStyle w:val="20"/>
        <w:spacing w:before="0" w:beforeAutospacing="0" w:after="0" w:afterAutospacing="0" w:line="360" w:lineRule="auto"/>
        <w:ind w:left="0" w:leftChars="0" w:firstLine="420" w:firstLineChars="200"/>
        <w:jc w:val="both"/>
        <w:rPr>
          <w:rFonts w:hint="default"/>
          <w:sz w:val="21"/>
          <w:szCs w:val="21"/>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i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i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i w:val="0"/>
          <w:sz w:val="28"/>
          <w:szCs w:val="28"/>
        </w:rPr>
      </w:pPr>
      <w:bookmarkStart w:id="133" w:name="_Toc13478"/>
      <w:r>
        <w:rPr>
          <w:i w:val="0"/>
          <w:caps w:val="0"/>
          <w:color w:val="333333"/>
          <w:spacing w:val="0"/>
          <w:sz w:val="28"/>
          <w:szCs w:val="28"/>
        </w:rPr>
        <w:t>工业和信息化部中小企业局关于组织参加“创客中国”大中小企业融通发展项目对接会活动的通知</w:t>
      </w:r>
      <w:bookmarkEnd w:id="133"/>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center"/>
        <w:rPr>
          <w:rFonts w:hint="eastAsia" w:ascii="宋体" w:hAnsi="宋体" w:eastAsia="宋体" w:cs="Times New Roman"/>
          <w:b/>
          <w:bCs/>
          <w:color w:val="auto"/>
          <w:kern w:val="2"/>
          <w:sz w:val="24"/>
          <w:szCs w:val="24"/>
          <w:lang w:val="en-US" w:eastAsia="zh-CN" w:bidi="ar-SA"/>
        </w:rPr>
      </w:pPr>
      <w:r>
        <w:rPr>
          <w:rFonts w:ascii="宋体" w:hAnsi="宋体" w:eastAsia="宋体" w:cs="宋体"/>
          <w:sz w:val="24"/>
          <w:szCs w:val="24"/>
        </w:rPr>
        <w:br w:type="textWrapping"/>
      </w:r>
      <w:r>
        <w:rPr>
          <w:rFonts w:hint="eastAsia" w:ascii="宋体" w:hAnsi="宋体" w:eastAsia="宋体" w:cs="Times New Roman"/>
          <w:b/>
          <w:bCs/>
          <w:color w:val="auto"/>
          <w:kern w:val="2"/>
          <w:sz w:val="24"/>
          <w:szCs w:val="24"/>
          <w:lang w:val="en-US" w:eastAsia="zh-CN" w:bidi="ar-SA"/>
        </w:rPr>
        <w:t>工企业函[2019]242号</w:t>
      </w:r>
    </w:p>
    <w:p>
      <w:pPr>
        <w:pStyle w:val="20"/>
        <w:spacing w:before="0" w:beforeAutospacing="0" w:after="0" w:afterAutospacing="0" w:line="360" w:lineRule="auto"/>
        <w:ind w:left="0" w:leftChars="0" w:firstLine="482" w:firstLineChars="200"/>
        <w:jc w:val="both"/>
        <w:rPr>
          <w:rFonts w:hint="eastAsia"/>
          <w:sz w:val="21"/>
          <w:szCs w:val="21"/>
          <w:lang w:val="en-US" w:eastAsia="zh-CN"/>
        </w:rPr>
      </w:pPr>
      <w:r>
        <w:rPr>
          <w:rFonts w:hint="eastAsia" w:ascii="宋体" w:hAnsi="宋体" w:eastAsia="宋体" w:cs="Times New Roman"/>
          <w:b/>
          <w:bCs/>
          <w:color w:val="auto"/>
          <w:kern w:val="2"/>
          <w:sz w:val="24"/>
          <w:szCs w:val="24"/>
          <w:lang w:val="en-US" w:eastAsia="zh-CN" w:bidi="ar-SA"/>
        </w:rPr>
        <w:br w:type="textWrapping"/>
      </w:r>
      <w:r>
        <w:rPr>
          <w:rFonts w:hint="eastAsia"/>
          <w:sz w:val="21"/>
          <w:szCs w:val="21"/>
          <w:lang w:val="en-US" w:eastAsia="zh-CN"/>
        </w:rPr>
        <w:t>各省、自治区、直辖市及计划单列市、新疆生产建设兵团中小企业主管部门：</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根据《工业和信息化部财政部关于举办</w:t>
      </w:r>
      <w:r>
        <w:rPr>
          <w:rFonts w:hint="default"/>
          <w:sz w:val="21"/>
          <w:szCs w:val="21"/>
          <w:lang w:val="en-US" w:eastAsia="zh-CN"/>
        </w:rPr>
        <w:t>2019</w:t>
      </w:r>
      <w:r>
        <w:rPr>
          <w:rFonts w:hint="eastAsia"/>
          <w:sz w:val="21"/>
          <w:szCs w:val="21"/>
          <w:lang w:val="en-US" w:eastAsia="zh-CN"/>
        </w:rPr>
        <w:t>年“创客中国”中小企业创新创业大赛的通知》（工信部联企业〔</w:t>
      </w:r>
      <w:r>
        <w:rPr>
          <w:rFonts w:hint="default"/>
          <w:sz w:val="21"/>
          <w:szCs w:val="21"/>
          <w:lang w:val="en-US" w:eastAsia="zh-CN"/>
        </w:rPr>
        <w:t>2019</w:t>
      </w:r>
      <w:r>
        <w:rPr>
          <w:rFonts w:hint="eastAsia"/>
          <w:sz w:val="21"/>
          <w:szCs w:val="21"/>
          <w:lang w:val="en-US" w:eastAsia="zh-CN"/>
        </w:rPr>
        <w:t>〕</w:t>
      </w:r>
      <w:r>
        <w:rPr>
          <w:rFonts w:hint="default"/>
          <w:sz w:val="21"/>
          <w:szCs w:val="21"/>
          <w:lang w:val="en-US" w:eastAsia="zh-CN"/>
        </w:rPr>
        <w:t>58</w:t>
      </w:r>
      <w:r>
        <w:rPr>
          <w:rFonts w:hint="eastAsia"/>
          <w:sz w:val="21"/>
          <w:szCs w:val="21"/>
          <w:lang w:val="en-US" w:eastAsia="zh-CN"/>
        </w:rPr>
        <w:t>号）和《工业和信息化部</w:t>
      </w:r>
      <w:r>
        <w:rPr>
          <w:rFonts w:hint="default"/>
          <w:sz w:val="21"/>
          <w:szCs w:val="21"/>
          <w:lang w:val="en-US" w:eastAsia="zh-CN"/>
        </w:rPr>
        <w:t> </w:t>
      </w:r>
      <w:r>
        <w:rPr>
          <w:rFonts w:hint="eastAsia"/>
          <w:sz w:val="21"/>
          <w:szCs w:val="21"/>
          <w:lang w:val="en-US" w:eastAsia="zh-CN"/>
        </w:rPr>
        <w:t>国家市场监督管理总局</w:t>
      </w:r>
      <w:r>
        <w:rPr>
          <w:rFonts w:hint="default"/>
          <w:sz w:val="21"/>
          <w:szCs w:val="21"/>
          <w:lang w:val="en-US" w:eastAsia="zh-CN"/>
        </w:rPr>
        <w:t> </w:t>
      </w:r>
      <w:r>
        <w:rPr>
          <w:rFonts w:hint="eastAsia"/>
          <w:sz w:val="21"/>
          <w:szCs w:val="21"/>
          <w:lang w:val="en-US" w:eastAsia="zh-CN"/>
        </w:rPr>
        <w:t>广东省人民政府关于举办第十六届中国国际中小企业博览会的通知》（工信部联企业〔</w:t>
      </w:r>
      <w:r>
        <w:rPr>
          <w:rFonts w:hint="default"/>
          <w:sz w:val="21"/>
          <w:szCs w:val="21"/>
          <w:lang w:val="en-US" w:eastAsia="zh-CN"/>
        </w:rPr>
        <w:t>2019</w:t>
      </w:r>
      <w:r>
        <w:rPr>
          <w:rFonts w:hint="eastAsia"/>
          <w:sz w:val="21"/>
          <w:szCs w:val="21"/>
          <w:lang w:val="en-US" w:eastAsia="zh-CN"/>
        </w:rPr>
        <w:t>〕</w:t>
      </w:r>
      <w:r>
        <w:rPr>
          <w:rFonts w:hint="default"/>
          <w:sz w:val="21"/>
          <w:szCs w:val="21"/>
          <w:lang w:val="en-US" w:eastAsia="zh-CN"/>
        </w:rPr>
        <w:t>87</w:t>
      </w:r>
      <w:r>
        <w:rPr>
          <w:rFonts w:hint="eastAsia"/>
          <w:sz w:val="21"/>
          <w:szCs w:val="21"/>
          <w:lang w:val="en-US" w:eastAsia="zh-CN"/>
        </w:rPr>
        <w:t>号）的要求，定于第十六届中国国际中小企业博览会期间举办“创客中国”大中小企业融通发展项目对接会活动，为推动大赛项目落地孵化，促进大中小企业协同创新发展，现将有关事项通知如下：</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一、活动时间和地点</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(一）时间：</w:t>
      </w:r>
      <w:r>
        <w:rPr>
          <w:rFonts w:hint="default"/>
          <w:sz w:val="21"/>
          <w:szCs w:val="21"/>
          <w:lang w:val="en-US" w:eastAsia="zh-CN"/>
        </w:rPr>
        <w:t>2019</w:t>
      </w:r>
      <w:r>
        <w:rPr>
          <w:rFonts w:hint="eastAsia"/>
          <w:sz w:val="21"/>
          <w:szCs w:val="21"/>
          <w:lang w:val="en-US" w:eastAsia="zh-CN"/>
        </w:rPr>
        <w:t>年</w:t>
      </w:r>
      <w:r>
        <w:rPr>
          <w:rFonts w:hint="default"/>
          <w:sz w:val="21"/>
          <w:szCs w:val="21"/>
          <w:lang w:val="en-US" w:eastAsia="zh-CN"/>
        </w:rPr>
        <w:t>6</w:t>
      </w:r>
      <w:r>
        <w:rPr>
          <w:rFonts w:hint="eastAsia"/>
          <w:sz w:val="21"/>
          <w:szCs w:val="21"/>
          <w:lang w:val="en-US" w:eastAsia="zh-CN"/>
        </w:rPr>
        <w:t>月</w:t>
      </w:r>
      <w:r>
        <w:rPr>
          <w:rFonts w:hint="default"/>
          <w:sz w:val="21"/>
          <w:szCs w:val="21"/>
          <w:lang w:val="en-US" w:eastAsia="zh-CN"/>
        </w:rPr>
        <w:t>24</w:t>
      </w:r>
      <w:r>
        <w:rPr>
          <w:rFonts w:hint="eastAsia"/>
          <w:sz w:val="21"/>
          <w:szCs w:val="21"/>
          <w:lang w:val="en-US" w:eastAsia="zh-CN"/>
        </w:rPr>
        <w:t>日-</w:t>
      </w:r>
      <w:r>
        <w:rPr>
          <w:rFonts w:hint="default"/>
          <w:sz w:val="21"/>
          <w:szCs w:val="21"/>
          <w:lang w:val="en-US" w:eastAsia="zh-CN"/>
        </w:rPr>
        <w:t>26</w:t>
      </w:r>
      <w:r>
        <w:rPr>
          <w:rFonts w:hint="eastAsia"/>
          <w:sz w:val="21"/>
          <w:szCs w:val="21"/>
          <w:lang w:val="en-US" w:eastAsia="zh-CN"/>
        </w:rPr>
        <w:t>日</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(二）地点：广东省广州市广交会展馆“创客中国”活动区</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二、活动内容</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龙头企业、“双创”特色载体、基地园区和投资机构通过观看项目路演及展示、问答、“一对一”洽谈等方式，与参加活动的“创客中国”参赛项目进行协同创新、孵化落地和投融资等对接。同时，以数字展馆和现场展示形式促进“创客中国”参赛项目与服务资源对接和落地孵化。</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三、相关要求</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请各省级中小企业主管部门协助做好以下组织推荐工作：</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（一）推荐</w:t>
      </w:r>
      <w:r>
        <w:rPr>
          <w:rFonts w:hint="default"/>
          <w:sz w:val="21"/>
          <w:szCs w:val="21"/>
          <w:lang w:val="en-US" w:eastAsia="zh-CN"/>
        </w:rPr>
        <w:t>1</w:t>
      </w:r>
      <w:r>
        <w:rPr>
          <w:rFonts w:hint="eastAsia"/>
          <w:sz w:val="21"/>
          <w:szCs w:val="21"/>
          <w:lang w:val="en-US" w:eastAsia="zh-CN"/>
        </w:rPr>
        <w:t>-</w:t>
      </w:r>
      <w:r>
        <w:rPr>
          <w:rFonts w:hint="default"/>
          <w:sz w:val="21"/>
          <w:szCs w:val="21"/>
          <w:lang w:val="en-US" w:eastAsia="zh-CN"/>
        </w:rPr>
        <w:t>2</w:t>
      </w:r>
      <w:r>
        <w:rPr>
          <w:rFonts w:hint="eastAsia"/>
          <w:sz w:val="21"/>
          <w:szCs w:val="21"/>
          <w:lang w:val="en-US" w:eastAsia="zh-CN"/>
        </w:rPr>
        <w:t>组已达成合作意向的大赛优秀项目与龙头企业、“双创”特色载体、基地园区或投资机构在活动现场签约。</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（二）推荐</w:t>
      </w:r>
      <w:r>
        <w:rPr>
          <w:rFonts w:hint="default"/>
          <w:sz w:val="21"/>
          <w:szCs w:val="21"/>
          <w:lang w:val="en-US" w:eastAsia="zh-CN"/>
        </w:rPr>
        <w:t>3</w:t>
      </w:r>
      <w:r>
        <w:rPr>
          <w:rFonts w:hint="eastAsia"/>
          <w:sz w:val="21"/>
          <w:szCs w:val="21"/>
          <w:lang w:val="en-US" w:eastAsia="zh-CN"/>
        </w:rPr>
        <w:t>个往届大赛</w:t>
      </w:r>
      <w:r>
        <w:rPr>
          <w:rFonts w:hint="default"/>
          <w:sz w:val="21"/>
          <w:szCs w:val="21"/>
          <w:lang w:val="en-US" w:eastAsia="zh-CN"/>
        </w:rPr>
        <w:t>200</w:t>
      </w:r>
      <w:r>
        <w:rPr>
          <w:rFonts w:hint="eastAsia"/>
          <w:sz w:val="21"/>
          <w:szCs w:val="21"/>
          <w:lang w:val="en-US" w:eastAsia="zh-CN"/>
        </w:rPr>
        <w:t>强项目参加项目对接和项目展示。</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（三）请于</w:t>
      </w:r>
      <w:r>
        <w:rPr>
          <w:rFonts w:hint="default"/>
          <w:sz w:val="21"/>
          <w:szCs w:val="21"/>
          <w:lang w:val="en-US" w:eastAsia="zh-CN"/>
        </w:rPr>
        <w:t>2019</w:t>
      </w:r>
      <w:r>
        <w:rPr>
          <w:rFonts w:hint="eastAsia"/>
          <w:sz w:val="21"/>
          <w:szCs w:val="21"/>
          <w:lang w:val="en-US" w:eastAsia="zh-CN"/>
        </w:rPr>
        <w:t>年</w:t>
      </w:r>
      <w:r>
        <w:rPr>
          <w:rFonts w:hint="default"/>
          <w:sz w:val="21"/>
          <w:szCs w:val="21"/>
          <w:lang w:val="en-US" w:eastAsia="zh-CN"/>
        </w:rPr>
        <w:t>5</w:t>
      </w:r>
      <w:r>
        <w:rPr>
          <w:rFonts w:hint="eastAsia"/>
          <w:sz w:val="21"/>
          <w:szCs w:val="21"/>
          <w:lang w:val="en-US" w:eastAsia="zh-CN"/>
        </w:rPr>
        <w:t>月</w:t>
      </w:r>
      <w:r>
        <w:rPr>
          <w:rFonts w:hint="default"/>
          <w:sz w:val="21"/>
          <w:szCs w:val="21"/>
          <w:lang w:val="en-US" w:eastAsia="zh-CN"/>
        </w:rPr>
        <w:t>17</w:t>
      </w:r>
      <w:r>
        <w:rPr>
          <w:rFonts w:hint="eastAsia"/>
          <w:sz w:val="21"/>
          <w:szCs w:val="21"/>
          <w:lang w:val="en-US" w:eastAsia="zh-CN"/>
        </w:rPr>
        <w:t>日前将参加“创客中国”大中小企业融通发展项目对接会活动信息表（见附件）反馈至大赛秘书处办公室电子邮箱，以便通知活动具体安排。</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联</w:t>
      </w:r>
      <w:r>
        <w:rPr>
          <w:rFonts w:hint="default"/>
          <w:sz w:val="21"/>
          <w:szCs w:val="21"/>
          <w:lang w:val="en-US" w:eastAsia="zh-CN"/>
        </w:rPr>
        <w:t> </w:t>
      </w:r>
      <w:r>
        <w:rPr>
          <w:rFonts w:hint="eastAsia"/>
          <w:sz w:val="21"/>
          <w:szCs w:val="21"/>
          <w:lang w:val="en-US" w:eastAsia="zh-CN"/>
        </w:rPr>
        <w:t>系</w:t>
      </w:r>
      <w:r>
        <w:rPr>
          <w:rFonts w:hint="default"/>
          <w:sz w:val="21"/>
          <w:szCs w:val="21"/>
          <w:lang w:val="en-US" w:eastAsia="zh-CN"/>
        </w:rPr>
        <w:t> </w:t>
      </w:r>
      <w:r>
        <w:rPr>
          <w:rFonts w:hint="eastAsia"/>
          <w:sz w:val="21"/>
          <w:szCs w:val="21"/>
          <w:lang w:val="en-US" w:eastAsia="zh-CN"/>
        </w:rPr>
        <w:t>人：大赛秘书处办公室</w:t>
      </w:r>
      <w:r>
        <w:rPr>
          <w:rFonts w:hint="default"/>
          <w:sz w:val="21"/>
          <w:szCs w:val="21"/>
          <w:lang w:val="en-US" w:eastAsia="zh-CN"/>
        </w:rPr>
        <w:t> </w:t>
      </w:r>
      <w:r>
        <w:rPr>
          <w:rFonts w:hint="eastAsia"/>
          <w:sz w:val="21"/>
          <w:szCs w:val="21"/>
          <w:lang w:val="en-US" w:eastAsia="zh-CN"/>
        </w:rPr>
        <w:t>于孟琪陈子雄</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联系电话：</w:t>
      </w:r>
      <w:r>
        <w:rPr>
          <w:rFonts w:hint="default"/>
          <w:sz w:val="21"/>
          <w:szCs w:val="21"/>
          <w:lang w:val="en-US" w:eastAsia="zh-CN"/>
        </w:rPr>
        <w:t>010</w:t>
      </w:r>
      <w:r>
        <w:rPr>
          <w:rFonts w:hint="eastAsia"/>
          <w:sz w:val="21"/>
          <w:szCs w:val="21"/>
          <w:lang w:val="en-US" w:eastAsia="zh-CN"/>
        </w:rPr>
        <w:t>-</w:t>
      </w:r>
      <w:r>
        <w:rPr>
          <w:rFonts w:hint="default"/>
          <w:sz w:val="21"/>
          <w:szCs w:val="21"/>
          <w:lang w:val="en-US" w:eastAsia="zh-CN"/>
        </w:rPr>
        <w:t>68200372</w:t>
      </w:r>
      <w:r>
        <w:rPr>
          <w:rFonts w:hint="eastAsia"/>
          <w:sz w:val="21"/>
          <w:szCs w:val="21"/>
          <w:lang w:val="en-US" w:eastAsia="zh-CN"/>
        </w:rPr>
        <w:t>/</w:t>
      </w:r>
      <w:r>
        <w:rPr>
          <w:rFonts w:hint="default"/>
          <w:sz w:val="21"/>
          <w:szCs w:val="21"/>
          <w:lang w:val="en-US" w:eastAsia="zh-CN"/>
        </w:rPr>
        <w:t>010</w:t>
      </w:r>
      <w:r>
        <w:rPr>
          <w:rFonts w:hint="eastAsia"/>
          <w:sz w:val="21"/>
          <w:szCs w:val="21"/>
          <w:lang w:val="en-US" w:eastAsia="zh-CN"/>
        </w:rPr>
        <w:t>-</w:t>
      </w:r>
      <w:r>
        <w:rPr>
          <w:rFonts w:hint="default"/>
          <w:sz w:val="21"/>
          <w:szCs w:val="21"/>
          <w:lang w:val="en-US" w:eastAsia="zh-CN"/>
        </w:rPr>
        <w:t>68200336</w:t>
      </w:r>
      <w:r>
        <w:rPr>
          <w:rFonts w:hint="eastAsia"/>
          <w:sz w:val="21"/>
          <w:szCs w:val="21"/>
          <w:lang w:val="en-US" w:eastAsia="zh-CN"/>
        </w:rPr>
        <w:br w:type="textWrapping"/>
      </w:r>
      <w:r>
        <w:rPr>
          <w:rFonts w:hint="default"/>
          <w:sz w:val="21"/>
          <w:szCs w:val="21"/>
          <w:lang w:val="en-US" w:eastAsia="zh-CN"/>
        </w:rPr>
        <w:t>　　</w:t>
      </w:r>
      <w:r>
        <w:rPr>
          <w:rFonts w:hint="eastAsia"/>
          <w:sz w:val="21"/>
          <w:szCs w:val="21"/>
          <w:lang w:val="en-US" w:eastAsia="zh-CN"/>
        </w:rPr>
        <w:t>电子邮箱：</w:t>
      </w:r>
      <w:r>
        <w:rPr>
          <w:rFonts w:hint="eastAsia"/>
          <w:sz w:val="21"/>
          <w:szCs w:val="21"/>
          <w:lang w:val="en-US" w:eastAsia="zh-CN"/>
        </w:rPr>
        <w:fldChar w:fldCharType="begin"/>
      </w:r>
      <w:r>
        <w:rPr>
          <w:rFonts w:hint="eastAsia"/>
          <w:sz w:val="21"/>
          <w:szCs w:val="21"/>
          <w:lang w:val="en-US" w:eastAsia="zh-CN"/>
        </w:rPr>
        <w:instrText xml:space="preserve"> HYPERLINK "mailto:cnmaker@miit.gov.cn" </w:instrText>
      </w:r>
      <w:r>
        <w:rPr>
          <w:rFonts w:hint="eastAsia"/>
          <w:sz w:val="21"/>
          <w:szCs w:val="21"/>
          <w:lang w:val="en-US" w:eastAsia="zh-CN"/>
        </w:rPr>
        <w:fldChar w:fldCharType="separate"/>
      </w:r>
      <w:r>
        <w:rPr>
          <w:rFonts w:hint="eastAsia"/>
          <w:sz w:val="21"/>
          <w:szCs w:val="21"/>
          <w:lang w:val="en-US" w:eastAsia="zh-CN"/>
        </w:rPr>
        <w:t>cnmaker@miit.gov.cn</w:t>
      </w:r>
      <w:r>
        <w:rPr>
          <w:rFonts w:hint="eastAsia"/>
          <w:sz w:val="21"/>
          <w:szCs w:val="21"/>
          <w:lang w:val="en-US" w:eastAsia="zh-CN"/>
        </w:rPr>
        <w:fldChar w:fldCharType="end"/>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附件：</w:t>
      </w:r>
      <w:r>
        <w:rPr>
          <w:rFonts w:hint="eastAsia"/>
          <w:sz w:val="21"/>
          <w:szCs w:val="21"/>
          <w:lang w:val="en-US" w:eastAsia="zh-CN"/>
        </w:rPr>
        <w:fldChar w:fldCharType="begin"/>
      </w:r>
      <w:r>
        <w:rPr>
          <w:rFonts w:hint="eastAsia"/>
          <w:sz w:val="21"/>
          <w:szCs w:val="21"/>
          <w:lang w:val="en-US" w:eastAsia="zh-CN"/>
        </w:rPr>
        <w:instrText xml:space="preserve"> HYPERLINK "http://www.miit.gov.cn/n1146285/n1146352/n3054355/n3057527/n3057529/c6907352/part/6907367.doc" </w:instrText>
      </w:r>
      <w:r>
        <w:rPr>
          <w:rFonts w:hint="eastAsia"/>
          <w:sz w:val="21"/>
          <w:szCs w:val="21"/>
          <w:lang w:val="en-US" w:eastAsia="zh-CN"/>
        </w:rPr>
        <w:fldChar w:fldCharType="separate"/>
      </w:r>
      <w:r>
        <w:rPr>
          <w:rFonts w:hint="eastAsia"/>
          <w:sz w:val="21"/>
          <w:szCs w:val="21"/>
          <w:lang w:val="en-US" w:eastAsia="zh-CN"/>
        </w:rPr>
        <w:t>参加“创客中国”大中小企业融通发展项目对接会活动信息表</w:t>
      </w:r>
      <w:r>
        <w:rPr>
          <w:rFonts w:hint="eastAsia"/>
          <w:sz w:val="21"/>
          <w:szCs w:val="21"/>
          <w:lang w:val="en-US" w:eastAsia="zh-CN"/>
        </w:rPr>
        <w:fldChar w:fldCharType="end"/>
      </w:r>
    </w:p>
    <w:p>
      <w:pPr>
        <w:pStyle w:val="20"/>
        <w:spacing w:before="0" w:beforeAutospacing="0" w:after="0" w:afterAutospacing="0" w:line="360" w:lineRule="auto"/>
        <w:ind w:left="0" w:leftChars="0" w:firstLine="420" w:firstLineChars="200"/>
        <w:jc w:val="right"/>
        <w:rPr>
          <w:rFonts w:hint="eastAsia"/>
          <w:sz w:val="21"/>
          <w:szCs w:val="21"/>
          <w:lang w:val="en-US" w:eastAsia="zh-CN"/>
        </w:rPr>
      </w:pPr>
      <w:r>
        <w:rPr>
          <w:rFonts w:hint="eastAsia"/>
          <w:sz w:val="21"/>
          <w:szCs w:val="21"/>
          <w:lang w:val="en-US" w:eastAsia="zh-CN"/>
        </w:rPr>
        <w:t>工业和信息化部中小企业局  </w:t>
      </w:r>
      <w:r>
        <w:rPr>
          <w:rFonts w:hint="eastAsia"/>
          <w:sz w:val="21"/>
          <w:szCs w:val="21"/>
          <w:lang w:val="en-US" w:eastAsia="zh-CN"/>
        </w:rPr>
        <w:br w:type="textWrapping"/>
      </w:r>
      <w:r>
        <w:rPr>
          <w:rFonts w:hint="default"/>
          <w:sz w:val="21"/>
          <w:szCs w:val="21"/>
          <w:lang w:val="en-US" w:eastAsia="zh-CN"/>
        </w:rPr>
        <w:t>2019</w:t>
      </w:r>
      <w:r>
        <w:rPr>
          <w:rFonts w:hint="eastAsia"/>
          <w:sz w:val="21"/>
          <w:szCs w:val="21"/>
          <w:lang w:val="en-US" w:eastAsia="zh-CN"/>
        </w:rPr>
        <w:t>年</w:t>
      </w:r>
      <w:r>
        <w:rPr>
          <w:rFonts w:hint="default"/>
          <w:sz w:val="21"/>
          <w:szCs w:val="21"/>
          <w:lang w:val="en-US" w:eastAsia="zh-CN"/>
        </w:rPr>
        <w:t>5</w:t>
      </w:r>
      <w:r>
        <w:rPr>
          <w:rFonts w:hint="eastAsia"/>
          <w:sz w:val="21"/>
          <w:szCs w:val="21"/>
          <w:lang w:val="en-US" w:eastAsia="zh-CN"/>
        </w:rPr>
        <w:t>月</w:t>
      </w:r>
      <w:r>
        <w:rPr>
          <w:rFonts w:hint="default"/>
          <w:sz w:val="21"/>
          <w:szCs w:val="21"/>
          <w:lang w:val="en-US" w:eastAsia="zh-CN"/>
        </w:rPr>
        <w:t>9</w:t>
      </w:r>
      <w:r>
        <w:rPr>
          <w:rFonts w:hint="eastAsia"/>
          <w:sz w:val="21"/>
          <w:szCs w:val="21"/>
          <w:lang w:val="en-US" w:eastAsia="zh-CN"/>
        </w:rPr>
        <w:t>日   </w:t>
      </w:r>
    </w:p>
    <w:p>
      <w:pPr>
        <w:pStyle w:val="20"/>
        <w:spacing w:before="0" w:beforeAutospacing="0" w:after="0" w:afterAutospacing="0" w:line="360" w:lineRule="auto"/>
        <w:ind w:left="0" w:leftChars="0" w:firstLine="420" w:firstLineChars="200"/>
        <w:jc w:val="both"/>
        <w:rPr>
          <w:rFonts w:hint="default"/>
          <w:sz w:val="21"/>
          <w:szCs w:val="21"/>
          <w:lang w:val="en-US" w:eastAsia="zh-CN"/>
        </w:rPr>
      </w:pPr>
    </w:p>
    <w:p>
      <w:pPr>
        <w:pStyle w:val="20"/>
        <w:spacing w:before="0" w:beforeAutospacing="0" w:after="0" w:afterAutospacing="0" w:line="360" w:lineRule="auto"/>
        <w:ind w:left="0" w:leftChars="0" w:firstLine="420" w:firstLineChars="200"/>
        <w:jc w:val="both"/>
        <w:rPr>
          <w:rFonts w:hint="default"/>
          <w:sz w:val="21"/>
          <w:szCs w:val="21"/>
          <w:lang w:val="en-US" w:eastAsia="zh-CN"/>
        </w:rPr>
      </w:pPr>
    </w:p>
    <w:p>
      <w:pPr>
        <w:pStyle w:val="20"/>
        <w:spacing w:before="0" w:beforeAutospacing="0" w:after="0" w:afterAutospacing="0" w:line="360" w:lineRule="auto"/>
        <w:ind w:left="0" w:leftChars="0" w:firstLine="420" w:firstLineChars="200"/>
        <w:jc w:val="both"/>
        <w:rPr>
          <w:rFonts w:hint="default"/>
          <w:sz w:val="21"/>
          <w:szCs w:val="21"/>
          <w:lang w:val="en-US" w:eastAsia="zh-CN"/>
        </w:rPr>
      </w:pPr>
    </w:p>
    <w:p>
      <w:pPr>
        <w:pStyle w:val="20"/>
        <w:spacing w:before="0" w:beforeAutospacing="0" w:after="0" w:afterAutospacing="0" w:line="360" w:lineRule="auto"/>
        <w:ind w:left="0" w:leftChars="0" w:firstLine="420" w:firstLineChars="200"/>
        <w:jc w:val="both"/>
        <w:rPr>
          <w:rFonts w:hint="default"/>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center"/>
        <w:textAlignment w:val="auto"/>
        <w:outlineLvl w:val="1"/>
        <w:rPr>
          <w:rFonts w:hint="eastAsia" w:ascii="宋体" w:hAnsi="宋体" w:eastAsia="宋体" w:cs="宋体"/>
          <w:b/>
          <w:color w:val="auto"/>
          <w:sz w:val="30"/>
          <w:szCs w:val="30"/>
        </w:rPr>
      </w:pPr>
      <w:bookmarkStart w:id="134" w:name="_Toc260"/>
      <w:r>
        <w:rPr>
          <w:rFonts w:hint="eastAsia" w:ascii="宋体" w:hAnsi="宋体" w:eastAsia="宋体" w:cs="宋体"/>
          <w:b/>
          <w:color w:val="auto"/>
          <w:kern w:val="0"/>
          <w:sz w:val="30"/>
          <w:szCs w:val="30"/>
          <w:lang w:val="en-US" w:eastAsia="zh-CN" w:bidi="ar"/>
        </w:rPr>
        <w:t>关于进一步深入推进首台（套）重大技术装备保险补偿机制试点工作的通知</w:t>
      </w:r>
      <w:bookmarkEnd w:id="134"/>
      <w:r>
        <w:rPr>
          <w:rFonts w:hint="eastAsia" w:ascii="宋体" w:hAnsi="宋体" w:eastAsia="宋体" w:cs="宋体"/>
          <w:b/>
          <w:color w:val="auto"/>
          <w:kern w:val="0"/>
          <w:sz w:val="30"/>
          <w:szCs w:val="30"/>
          <w:lang w:val="en-US" w:eastAsia="zh-CN" w:bidi="ar"/>
        </w:rPr>
        <w:t xml:space="preserve"> </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outlineLvl w:val="1"/>
        <w:rPr>
          <w:rFonts w:hint="eastAsia" w:ascii="宋体" w:hAnsi="宋体" w:eastAsia="宋体" w:cs="宋体"/>
          <w:b/>
          <w:bCs/>
          <w:sz w:val="24"/>
          <w:szCs w:val="24"/>
        </w:rPr>
      </w:pPr>
      <w:bookmarkStart w:id="135" w:name="_Toc7148"/>
      <w:r>
        <w:rPr>
          <w:rFonts w:hint="eastAsia" w:ascii="宋体" w:hAnsi="宋体" w:eastAsia="宋体" w:cs="宋体"/>
          <w:b/>
          <w:bCs/>
          <w:sz w:val="24"/>
          <w:szCs w:val="24"/>
        </w:rPr>
        <w:t>财建〔2019〕225号</w:t>
      </w:r>
      <w:bookmarkEnd w:id="135"/>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各省、自治区、直辖市、计划单列市财政厅（局）、工业和信息化主管部门、银保监局：</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党中央、国务院高度重视首台（套）重大技术装备研发应用。2015年起，财政部、工业和信息化部、原保监会组织实施了首台（套）重大技术装备保险补偿机制试点工作，通过市场化方式支持破解初期市场信任不足导致的研发应用瓶颈，促进重大技术装备创新。为落实中央经济工作会议精神，更好满足新形势下重大技术装备创新发展需求，进一步完善首台（套）重大技术装备保险补偿机制试点工作，助力制造业高质量发展，现将有关事项通知如下：</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一、首台（套）重大技术装备是指经过创新，其品种、规格或技术参数等有重大突破，具有知识产权但尚未取得市场业绩的首台（套）或首批次装备、系统和核心部件等。其中，“首台（套）”是指用户首次使用的前三台（套）装备产品；“首批次”是指用户首次使用的同品种、同技术规格参数、同批签订合同、同批生产交付的装备产品。同时，部分关键零部件和小型关键装备覆盖范围扩展到用户在首年度内（即从用户首次购买之日至当年12月31日期间）购买使用的同品种、同技术规格参数的装备产品。</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二、《首台（套）重大技术装备推广应用指导目录》（以下称《目录》）由工业和信息化部制定，并根据重大技术装备发展情况进行适时调整。申请列入《目录》的重大技术装备产品须具备以下条件：</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（一）符合国家工业转型升级要求，且为当前国民经济建设和国家重大工程急需的装备产品；</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（二）节能、节材、环保效果突出，经济效益和社会效益显著；</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（三）首次进入市场阶段，尚未取得市场化业绩。</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三、首台（套）重大技术装备保险是指由生产《目录》内装备制造企业投保，与用户共同受益，承保首台（套）重大技术装备质量风险和责任风险的综合险保险产品。其中，质量风险主要保障因产品质量缺陷导致用户要求修理、更换或退货的风险；责任风险主要保障因产品质量缺陷造成用户财产损失或发生人身伤亡风险。首年度关键零部件保险责任限额应不低于装备价值的2倍，首台（套）装备、首批次装备和首年度小型关键装备保险责任限额应不低于装备价值。</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四、首台（套）重大技术装备综合险示范条款另行发布。符合要求的保险公司应统一使用综合险示范条款。对于民用航空装备、高技术船舶及海洋工程装备、核电装备等单价金额巨大的重大技术装备，经投保企业与保险公司自主协商，可选择按国际通行保险产品条款进行承保。参加试点的保险公司应向银保监会备案相关保险产品条款和费率。保险公司应积极打造由总公司直接领导的首台（套）重大技术装备保险专业团队，建立绿色理赔通道，切实提高服务水平，优化保险产品，确保落实好相关政策。</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五、首台（套）重大技术装备保险补偿机制充分发挥市场机制决定性作用，由中央财政对符合条件的投保企业给予适当额度保险补偿，利用财政资金杠杆作用，强化保险的风险保障功能，降低用户风险，并引导培育首台（套）重大技术装备保险市场，加快首台（套）重大技术装备研发应用。</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六、制造《目录》内装备，且投保首台（套）重大技术装备综合险或选择国际通行保险条款投保的企业，在装备交付用户、保单正式生效、累计保费满20万元后集中申请保险补偿。申请保险补偿的企业应为从事《目录》所列装备产品制造的企业，除其所制造的装备产品应具备本通知第二条所列条件外，应同时具备以下条件：</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（一）中华人民共和国境内注册的独立法人；</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（二）具有较强的设计研发和生产制造能力；</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（三）具备专业比较齐全的技术人员队伍；</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（四）具有申请保险补偿装备的核心技术和知识产权；</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（五）申请保险补偿的装备应符合《目录》规定有关要求。</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七、中央财政对符合条件的投保企业按照实际投保费率不超过3%及实际投保年度保费的80%给予保险补偿。保险期间应连续不间断，保险补偿期间按保险期限据实核算，不超过3年。</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八、省级工业和信息化主管部门、银保监局、财政厅（局）应按要求认真组织本地区装备制造企业（含中央企业）开展项目申报，按职责和权限做好初审和推荐工作。</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九、工业和信息化部、银保监会、财政部加强对地方政策落实的指导。工业和信息化部负责做好《目录》调整优化相关工作，组织开展项目申报，商银保监会、财政部开展项目审核，并向财政部提出保险补偿资金分配建议，指导地方加强项目监督管理和政策执行，会同银保监会及时跟踪统计掌握项目执行情况和政策效果。财政部根据工业和信息化部建议，按规定及时分配和拨付保险补偿资金。银保监会有效加强相关保险市场监督和管理，并商工业和信息化部、财政部及时开展示范条款、保险费率等适用性评估和调整工作。</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十、首台（套）重大技术装备保险补偿机制试点工作实施全面绩效管理。进一步强化绩效评价结果运用，将项目实施情况和绩效评价结果作为资金分配及对项目进行政策支持的重要依据。工业和信息化部负责牵头做好年度总结和整体绩效评价，并组织和督促指导相关省份做好年度绩效自评和全流程绩效监管，银保监会配合做好绩效管理相关工作。</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十一、各级财政部门、工业和信息化部门、银行保险监督管理机构及其工作人员在项目审核、资金分配等工作中，存在违反规定滥用职权、玩忽职守、徇私舞弊等违法违纪行为的，应当按照预算法、公务员法、监察法、财政违法行为处罚处分条例等国家有关规定追究相应责任；涉嫌犯罪的，移送司法机关处理。</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十二、鼓励有条件的地方结合当地产业基础、行业特征，因地制宜制定地方首台（套）重大技术装备保险补偿政策，并做好与国家政策的衔接。鼓励首台（套）重大技术装备用户企业对投保装备免收质保金，发挥保险对质保金的替代功能。</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十三、本通知所指首年度关键零部件和首年度小型关键装备范围由每年申报通知规定。</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十四、本通知自发布之日起生效。此前印发的《关于开展首台（套）重大技术装备保险补偿机制试点工作的通知》（财建〔2015〕19号）、《关于深入做好首台（套）重大技术装备保险补偿机制试点工作的通知》（财办建〔2018〕35号）等政策文件相关条款与本通知不一致的，以本通知为准。</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　　财政部 工业和信息化部 银保监会</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　　            2019年5月10日</w:t>
      </w:r>
    </w:p>
    <w:p>
      <w:pPr>
        <w:jc w:val="center"/>
        <w:rPr>
          <w:rFonts w:hint="eastAsia" w:ascii="宋体" w:hAnsi="宋体" w:eastAsia="宋体" w:cs="宋体"/>
          <w:sz w:val="14"/>
          <w:szCs w:val="14"/>
        </w:rPr>
      </w:pPr>
    </w:p>
    <w:p>
      <w:pPr>
        <w:spacing w:line="432" w:lineRule="auto"/>
        <w:jc w:val="center"/>
        <w:rPr>
          <w:rFonts w:hint="eastAsia" w:ascii="宋体" w:hAnsi="宋体" w:eastAsia="宋体" w:cs="宋体"/>
          <w:sz w:val="14"/>
          <w:szCs w:val="14"/>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center"/>
        <w:rPr>
          <w:rFonts w:hint="eastAsia" w:ascii="宋体" w:hAnsi="宋体" w:eastAsia="宋体" w:cs="Times New Roman"/>
          <w:b/>
          <w:bCs/>
          <w:color w:val="auto"/>
          <w:kern w:val="2"/>
          <w:sz w:val="30"/>
          <w:szCs w:val="30"/>
          <w:lang w:val="en-US" w:eastAsia="zh-CN" w:bidi="ar-SA"/>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center"/>
        <w:rPr>
          <w:rFonts w:hint="eastAsia" w:ascii="宋体" w:hAnsi="宋体" w:eastAsia="宋体" w:cs="Times New Roman"/>
          <w:b/>
          <w:bCs/>
          <w:color w:val="auto"/>
          <w:kern w:val="2"/>
          <w:sz w:val="30"/>
          <w:szCs w:val="30"/>
          <w:lang w:val="en-US" w:eastAsia="zh-CN" w:bidi="ar-SA"/>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center"/>
        <w:rPr>
          <w:rFonts w:hint="eastAsia" w:ascii="宋体" w:hAnsi="宋体" w:eastAsia="宋体" w:cs="Times New Roman"/>
          <w:b/>
          <w:bCs/>
          <w:color w:val="auto"/>
          <w:kern w:val="2"/>
          <w:sz w:val="30"/>
          <w:szCs w:val="30"/>
          <w:lang w:val="en-US" w:eastAsia="zh-CN" w:bidi="ar-SA"/>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center"/>
        <w:rPr>
          <w:rFonts w:hint="eastAsia" w:ascii="宋体" w:hAnsi="宋体" w:eastAsia="宋体" w:cs="Times New Roman"/>
          <w:b/>
          <w:bCs/>
          <w:color w:val="auto"/>
          <w:kern w:val="2"/>
          <w:sz w:val="30"/>
          <w:szCs w:val="30"/>
          <w:lang w:val="en-US" w:eastAsia="zh-CN" w:bidi="ar-SA"/>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center"/>
        <w:rPr>
          <w:rFonts w:hint="eastAsia" w:ascii="宋体" w:hAnsi="宋体" w:eastAsia="宋体" w:cs="Times New Roman"/>
          <w:b/>
          <w:bCs/>
          <w:color w:val="auto"/>
          <w:kern w:val="2"/>
          <w:sz w:val="30"/>
          <w:szCs w:val="30"/>
          <w:lang w:val="en-US" w:eastAsia="zh-CN" w:bidi="ar-SA"/>
        </w:rPr>
      </w:pPr>
      <w:r>
        <w:rPr>
          <w:rFonts w:hint="eastAsia" w:ascii="宋体" w:hAnsi="宋体" w:eastAsia="宋体" w:cs="Times New Roman"/>
          <w:b/>
          <w:bCs/>
          <w:color w:val="auto"/>
          <w:kern w:val="2"/>
          <w:sz w:val="30"/>
          <w:szCs w:val="30"/>
          <w:lang w:val="en-US" w:eastAsia="zh-CN" w:bidi="ar-SA"/>
        </w:rPr>
        <w:t>工业和信息化部办公厅关于做好2019-2020年度中小企业经营管理领军人才培训工作的通知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center"/>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工信厅企业函〔2019〕106号</w:t>
      </w:r>
    </w:p>
    <w:p>
      <w:pPr>
        <w:pStyle w:val="20"/>
        <w:spacing w:before="0" w:beforeAutospacing="0" w:after="0" w:afterAutospacing="0" w:line="360" w:lineRule="auto"/>
        <w:ind w:left="0" w:leftChars="0" w:firstLine="320" w:firstLineChars="200"/>
        <w:jc w:val="both"/>
        <w:rPr>
          <w:rFonts w:hint="eastAsia"/>
          <w:sz w:val="21"/>
          <w:szCs w:val="21"/>
          <w:lang w:val="en-US" w:eastAsia="zh-CN"/>
        </w:rPr>
      </w:pPr>
      <w:r>
        <w:rPr>
          <w:rFonts w:hint="eastAsia" w:ascii="宋体" w:hAnsi="宋体" w:eastAsia="宋体" w:cs="宋体"/>
          <w:i w:val="0"/>
          <w:caps w:val="0"/>
          <w:color w:val="070707"/>
          <w:spacing w:val="0"/>
          <w:sz w:val="16"/>
          <w:szCs w:val="16"/>
          <w:shd w:val="clear" w:fill="F9F9F9"/>
        </w:rPr>
        <w:br w:type="textWrapping"/>
      </w:r>
      <w:r>
        <w:rPr>
          <w:rFonts w:hint="eastAsia"/>
          <w:sz w:val="21"/>
          <w:szCs w:val="21"/>
          <w:lang w:val="en-US" w:eastAsia="zh-CN"/>
        </w:rPr>
        <w:t>各省、自治区、直辖市及计划单列市、新疆生产建设兵团中小企业主管部门，部人才交流中心、中小企业发展促进中心，各培训承担机构：</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为贯彻落实《国家中长期人才发展规划纲要（</w:t>
      </w:r>
      <w:r>
        <w:rPr>
          <w:rFonts w:hint="default"/>
          <w:sz w:val="21"/>
          <w:szCs w:val="21"/>
          <w:lang w:val="en-US" w:eastAsia="zh-CN"/>
        </w:rPr>
        <w:t>2010</w:t>
      </w:r>
      <w:r>
        <w:rPr>
          <w:rFonts w:hint="eastAsia"/>
          <w:sz w:val="21"/>
          <w:szCs w:val="21"/>
          <w:lang w:val="en-US" w:eastAsia="zh-CN"/>
        </w:rPr>
        <w:t>-</w:t>
      </w:r>
      <w:r>
        <w:rPr>
          <w:rFonts w:hint="default"/>
          <w:sz w:val="21"/>
          <w:szCs w:val="21"/>
          <w:lang w:val="en-US" w:eastAsia="zh-CN"/>
        </w:rPr>
        <w:t>2020</w:t>
      </w:r>
      <w:r>
        <w:rPr>
          <w:rFonts w:hint="eastAsia"/>
          <w:sz w:val="21"/>
          <w:szCs w:val="21"/>
          <w:lang w:val="en-US" w:eastAsia="zh-CN"/>
        </w:rPr>
        <w:t>年）》和中共中央办公厅、国务院办公厅《关于促进中小企业健康发展的指导意见》，深入实施企业经营管理人才素质提升工程，提高中小企业经营管理水平，引导中小企业高质量发展，我部决定开展</w:t>
      </w:r>
      <w:r>
        <w:rPr>
          <w:rFonts w:hint="default"/>
          <w:sz w:val="21"/>
          <w:szCs w:val="21"/>
          <w:lang w:val="en-US" w:eastAsia="zh-CN"/>
        </w:rPr>
        <w:t>2019</w:t>
      </w:r>
      <w:r>
        <w:rPr>
          <w:rFonts w:hint="eastAsia"/>
          <w:sz w:val="21"/>
          <w:szCs w:val="21"/>
          <w:lang w:val="en-US" w:eastAsia="zh-CN"/>
        </w:rPr>
        <w:t>-</w:t>
      </w:r>
      <w:r>
        <w:rPr>
          <w:rFonts w:hint="default"/>
          <w:sz w:val="21"/>
          <w:szCs w:val="21"/>
          <w:lang w:val="en-US" w:eastAsia="zh-CN"/>
        </w:rPr>
        <w:t>2020</w:t>
      </w:r>
      <w:r>
        <w:rPr>
          <w:rFonts w:hint="eastAsia"/>
          <w:sz w:val="21"/>
          <w:szCs w:val="21"/>
          <w:lang w:val="en-US" w:eastAsia="zh-CN"/>
        </w:rPr>
        <w:t>年度中小企业经营管理领军人才培训（以下简称领军人才培训）。现将有关事项通知如下：</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一、培训计划</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（一）</w:t>
      </w:r>
      <w:r>
        <w:rPr>
          <w:rFonts w:hint="default"/>
          <w:sz w:val="21"/>
          <w:szCs w:val="21"/>
          <w:lang w:val="en-US" w:eastAsia="zh-CN"/>
        </w:rPr>
        <w:t>2019</w:t>
      </w:r>
      <w:r>
        <w:rPr>
          <w:rFonts w:hint="eastAsia"/>
          <w:sz w:val="21"/>
          <w:szCs w:val="21"/>
          <w:lang w:val="en-US" w:eastAsia="zh-CN"/>
        </w:rPr>
        <w:t>-</w:t>
      </w:r>
      <w:r>
        <w:rPr>
          <w:rFonts w:hint="default"/>
          <w:sz w:val="21"/>
          <w:szCs w:val="21"/>
          <w:lang w:val="en-US" w:eastAsia="zh-CN"/>
        </w:rPr>
        <w:t>2020</w:t>
      </w:r>
      <w:r>
        <w:rPr>
          <w:rFonts w:hint="eastAsia"/>
          <w:sz w:val="21"/>
          <w:szCs w:val="21"/>
          <w:lang w:val="en-US" w:eastAsia="zh-CN"/>
        </w:rPr>
        <w:t>年度计划培训中小企业经营管理领军人才不少于</w:t>
      </w:r>
      <w:r>
        <w:rPr>
          <w:rFonts w:hint="default"/>
          <w:sz w:val="21"/>
          <w:szCs w:val="21"/>
          <w:lang w:val="en-US" w:eastAsia="zh-CN"/>
        </w:rPr>
        <w:t>1800</w:t>
      </w:r>
      <w:r>
        <w:rPr>
          <w:rFonts w:hint="eastAsia"/>
          <w:sz w:val="21"/>
          <w:szCs w:val="21"/>
          <w:lang w:val="en-US" w:eastAsia="zh-CN"/>
        </w:rPr>
        <w:t>名。其中，来自制造业企业的学员不少于</w:t>
      </w:r>
      <w:r>
        <w:rPr>
          <w:rFonts w:hint="default"/>
          <w:sz w:val="21"/>
          <w:szCs w:val="21"/>
          <w:lang w:val="en-US" w:eastAsia="zh-CN"/>
        </w:rPr>
        <w:t>30</w:t>
      </w:r>
      <w:r>
        <w:rPr>
          <w:rFonts w:hint="eastAsia"/>
          <w:sz w:val="21"/>
          <w:szCs w:val="21"/>
          <w:lang w:val="en-US" w:eastAsia="zh-CN"/>
        </w:rPr>
        <w:t>%，培训周期为</w:t>
      </w:r>
      <w:r>
        <w:rPr>
          <w:rFonts w:hint="default"/>
          <w:sz w:val="21"/>
          <w:szCs w:val="21"/>
          <w:lang w:val="en-US" w:eastAsia="zh-CN"/>
        </w:rPr>
        <w:t>1</w:t>
      </w:r>
      <w:r>
        <w:rPr>
          <w:rFonts w:hint="eastAsia"/>
          <w:sz w:val="21"/>
          <w:szCs w:val="21"/>
          <w:lang w:val="en-US" w:eastAsia="zh-CN"/>
        </w:rPr>
        <w:t>年。</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（二）培训对象主要针对成长性好、创新能力强、在区域或行业中处于龙头骨干地位的中小企业经营管理者，发展潜力大的初创小微企业经营管理者。</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（三）培训方式主要采用集中培训与学习实践相结合、课堂教学与实际应用相结合等方式，围绕中小企业经营管理的重点领域和薄弱环节，着力提升企业经营管理者专业化能力和水平。</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二、培训任务承担机构</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经第三方评估考核和公开遴选，确定由清华大学、北京大学、北京理工大学、中国人民大学、哈尔滨工业大学、上海交通大学、复旦大学、南京大学、浙江大学、厦门大学、华中科技大学、中南大学、中山大学、重庆大学、四川大学、云南大学、西北工业大学、中国中小企业发展促进中心、中国个体劳动者协会、中国轻工业联合会（中国工业设计协会、中国家用电器协会）和中国汽车工程学会等单位承担</w:t>
      </w:r>
      <w:r>
        <w:rPr>
          <w:rFonts w:hint="default"/>
          <w:sz w:val="21"/>
          <w:szCs w:val="21"/>
          <w:lang w:val="en-US" w:eastAsia="zh-CN"/>
        </w:rPr>
        <w:t>2019</w:t>
      </w:r>
      <w:r>
        <w:rPr>
          <w:rFonts w:hint="eastAsia"/>
          <w:sz w:val="21"/>
          <w:szCs w:val="21"/>
          <w:lang w:val="en-US" w:eastAsia="zh-CN"/>
        </w:rPr>
        <w:t>-</w:t>
      </w:r>
      <w:r>
        <w:rPr>
          <w:rFonts w:hint="default"/>
          <w:sz w:val="21"/>
          <w:szCs w:val="21"/>
          <w:lang w:val="en-US" w:eastAsia="zh-CN"/>
        </w:rPr>
        <w:t>2020</w:t>
      </w:r>
      <w:r>
        <w:rPr>
          <w:rFonts w:hint="eastAsia"/>
          <w:sz w:val="21"/>
          <w:szCs w:val="21"/>
          <w:lang w:val="en-US" w:eastAsia="zh-CN"/>
        </w:rPr>
        <w:t>年度领军人才区域班、行业班等培训任务。</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围绕落实我部中心工作，为进一步扩大领军人才培训规模和影响力，由部人才交流中心联合各地中小企业主管部门和社会优质培训机构，开展促进大中小企业融通发展和“专精特新”专题培训。</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详细信息见中小企业经营管理领军人才公共服务平台官方网站http://leader.miitec.cn。</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三、工作安排</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一）领军人才培训工作由我部企业经营管理人才素质提升工程协调小组（以下简称协调小组）统筹安排。组长为部党组成员、副部长王江平同志，部中小企业局、人事教育司主要负责同志担任副组长，协调小组办公室设在部人才交流中心。请各地中小企业主管部门确定分管此项工作的负责同志和联络员，填写信息表（见附件），并于</w:t>
      </w:r>
      <w:r>
        <w:rPr>
          <w:rFonts w:hint="default"/>
          <w:sz w:val="21"/>
          <w:szCs w:val="21"/>
          <w:lang w:val="en-US" w:eastAsia="zh-CN"/>
        </w:rPr>
        <w:t>5</w:t>
      </w:r>
      <w:r>
        <w:rPr>
          <w:rFonts w:hint="eastAsia"/>
          <w:sz w:val="21"/>
          <w:szCs w:val="21"/>
          <w:lang w:val="en-US" w:eastAsia="zh-CN"/>
        </w:rPr>
        <w:t>月</w:t>
      </w:r>
      <w:r>
        <w:rPr>
          <w:rFonts w:hint="default"/>
          <w:sz w:val="21"/>
          <w:szCs w:val="21"/>
          <w:lang w:val="en-US" w:eastAsia="zh-CN"/>
        </w:rPr>
        <w:t>20</w:t>
      </w:r>
      <w:r>
        <w:rPr>
          <w:rFonts w:hint="eastAsia"/>
          <w:sz w:val="21"/>
          <w:szCs w:val="21"/>
          <w:lang w:val="en-US" w:eastAsia="zh-CN"/>
        </w:rPr>
        <w:t>日前反馈部（中小企业局）。</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二）部人才交流中心要按照部企业经营管理人才素质提升工程统一部署，积极发挥协调小组办公室综合协调作用，不断完善培训服务体系，统筹组织学员复训、“巡回周”、在线学习等，通过网站及微信公众号等方式搭建联合培养全国互动平台。要会同部中小企业发展促进中心加强对培训工作全过程的跟踪管理。</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三）各地中小企业主管部门根据培训工作整体部署，组织学员参加促进大中小企业融通发展和“专精特新”专题培训。同时，可以结合本地区经济发展与企业需求现状，采取联合或委托培养方式，任选一家培训机构开设区域班，并报部（中小企业局）统筹协调。</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（四）</w:t>
      </w:r>
      <w:r>
        <w:rPr>
          <w:rFonts w:hint="default"/>
          <w:sz w:val="21"/>
          <w:szCs w:val="21"/>
          <w:lang w:val="en-US" w:eastAsia="zh-CN"/>
        </w:rPr>
        <w:t>2019</w:t>
      </w:r>
      <w:r>
        <w:rPr>
          <w:rFonts w:hint="eastAsia"/>
          <w:sz w:val="21"/>
          <w:szCs w:val="21"/>
          <w:lang w:val="en-US" w:eastAsia="zh-CN"/>
        </w:rPr>
        <w:t>-</w:t>
      </w:r>
      <w:r>
        <w:rPr>
          <w:rFonts w:hint="default"/>
          <w:sz w:val="21"/>
          <w:szCs w:val="21"/>
          <w:lang w:val="en-US" w:eastAsia="zh-CN"/>
        </w:rPr>
        <w:t>2020</w:t>
      </w:r>
      <w:r>
        <w:rPr>
          <w:rFonts w:hint="eastAsia"/>
          <w:sz w:val="21"/>
          <w:szCs w:val="21"/>
          <w:lang w:val="en-US" w:eastAsia="zh-CN"/>
        </w:rPr>
        <w:t>年度领军人才培训工作按照“政府引导、市场运作、面向企业、讲求实效、整合资源、共建共享”的原则，由协调小组办公室会同各地中小企业主管部门以及培训承担机构共同制定培训方案并组织实施。</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（五）学员选拔采取培训承担机构自主选拔和各地中小企业主管部门推荐相结合的方式。请各地中小企业主管部门协助做好学员的推荐工作，积极配合做好培训的组织管理。各培训承担机构须在</w:t>
      </w:r>
      <w:r>
        <w:rPr>
          <w:rFonts w:hint="default"/>
          <w:sz w:val="21"/>
          <w:szCs w:val="21"/>
          <w:lang w:val="en-US" w:eastAsia="zh-CN"/>
        </w:rPr>
        <w:t>2019</w:t>
      </w:r>
      <w:r>
        <w:rPr>
          <w:rFonts w:hint="eastAsia"/>
          <w:sz w:val="21"/>
          <w:szCs w:val="21"/>
          <w:lang w:val="en-US" w:eastAsia="zh-CN"/>
        </w:rPr>
        <w:t>年</w:t>
      </w:r>
      <w:r>
        <w:rPr>
          <w:rFonts w:hint="default"/>
          <w:sz w:val="21"/>
          <w:szCs w:val="21"/>
          <w:lang w:val="en-US" w:eastAsia="zh-CN"/>
        </w:rPr>
        <w:t>12</w:t>
      </w:r>
      <w:r>
        <w:rPr>
          <w:rFonts w:hint="eastAsia"/>
          <w:sz w:val="21"/>
          <w:szCs w:val="21"/>
          <w:lang w:val="en-US" w:eastAsia="zh-CN"/>
        </w:rPr>
        <w:t>月底前完成学员推荐选拔工作，学员名单由协调小组办公室负责审核。</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（六）培训期间，我部将继续引入第三方考核机构，对培训承担机构的培训质量进行考核评估，考核结果低于</w:t>
      </w:r>
      <w:r>
        <w:rPr>
          <w:rFonts w:hint="default"/>
          <w:sz w:val="21"/>
          <w:szCs w:val="21"/>
          <w:lang w:val="en-US" w:eastAsia="zh-CN"/>
        </w:rPr>
        <w:t>80</w:t>
      </w:r>
      <w:r>
        <w:rPr>
          <w:rFonts w:hint="eastAsia"/>
          <w:sz w:val="21"/>
          <w:szCs w:val="21"/>
          <w:lang w:val="en-US" w:eastAsia="zh-CN"/>
        </w:rPr>
        <w:t>分（</w:t>
      </w:r>
      <w:r>
        <w:rPr>
          <w:rFonts w:hint="default"/>
          <w:sz w:val="21"/>
          <w:szCs w:val="21"/>
          <w:lang w:val="en-US" w:eastAsia="zh-CN"/>
        </w:rPr>
        <w:t>100</w:t>
      </w:r>
      <w:r>
        <w:rPr>
          <w:rFonts w:hint="eastAsia"/>
          <w:sz w:val="21"/>
          <w:szCs w:val="21"/>
          <w:lang w:val="en-US" w:eastAsia="zh-CN"/>
        </w:rPr>
        <w:t>分制）暂停下一年度培训任务。培训结束时，对按规定完成学业的参训学员，由协调小组办公室统一颁发结业证书。</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七）各培训承担机构要科学设置课程体系，突出培训特色，围绕制造强国和网络强国建设，加强对制造业高质量发展、工业互联网、新材料、产融合作等方面的培训。通过组织学员参加跨区域交流、引导结业学员继续学习等方式，不断满足学员培训新需求。积极配合开展领军人才培训体系建设各项工作，形成全国中小企业领军人才培训统一品牌。</w:t>
      </w:r>
    </w:p>
    <w:p>
      <w:pPr>
        <w:pStyle w:val="20"/>
        <w:spacing w:before="0" w:beforeAutospacing="0" w:after="0" w:afterAutospacing="0" w:line="360" w:lineRule="auto"/>
        <w:ind w:left="0" w:leftChars="0"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四、联系人及联系方式</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工业和信息化部中小企业局</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联系人：江</w:t>
      </w:r>
      <w:r>
        <w:rPr>
          <w:rFonts w:hint="default"/>
          <w:sz w:val="21"/>
          <w:szCs w:val="21"/>
          <w:lang w:val="en-US" w:eastAsia="zh-CN"/>
        </w:rPr>
        <w:t> </w:t>
      </w:r>
      <w:r>
        <w:rPr>
          <w:rFonts w:hint="eastAsia"/>
          <w:sz w:val="21"/>
          <w:szCs w:val="21"/>
          <w:lang w:val="en-US" w:eastAsia="zh-CN"/>
        </w:rPr>
        <w:t>生</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电</w:t>
      </w:r>
      <w:r>
        <w:rPr>
          <w:rFonts w:hint="default"/>
          <w:sz w:val="21"/>
          <w:szCs w:val="21"/>
          <w:lang w:val="en-US" w:eastAsia="zh-CN"/>
        </w:rPr>
        <w:t>  </w:t>
      </w:r>
      <w:r>
        <w:rPr>
          <w:rFonts w:hint="eastAsia"/>
          <w:sz w:val="21"/>
          <w:szCs w:val="21"/>
          <w:lang w:val="en-US" w:eastAsia="zh-CN"/>
        </w:rPr>
        <w:t>话：</w:t>
      </w:r>
      <w:r>
        <w:rPr>
          <w:rFonts w:hint="default"/>
          <w:sz w:val="21"/>
          <w:szCs w:val="21"/>
          <w:lang w:val="en-US" w:eastAsia="zh-CN"/>
        </w:rPr>
        <w:t>010</w:t>
      </w:r>
      <w:r>
        <w:rPr>
          <w:rFonts w:hint="eastAsia"/>
          <w:sz w:val="21"/>
          <w:szCs w:val="21"/>
          <w:lang w:val="en-US" w:eastAsia="zh-CN"/>
        </w:rPr>
        <w:t>-</w:t>
      </w:r>
      <w:r>
        <w:rPr>
          <w:rFonts w:hint="default"/>
          <w:sz w:val="21"/>
          <w:szCs w:val="21"/>
          <w:lang w:val="en-US" w:eastAsia="zh-CN"/>
        </w:rPr>
        <w:t>68205326</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传</w:t>
      </w:r>
      <w:r>
        <w:rPr>
          <w:rFonts w:hint="default"/>
          <w:sz w:val="21"/>
          <w:szCs w:val="21"/>
          <w:lang w:val="en-US" w:eastAsia="zh-CN"/>
        </w:rPr>
        <w:t>  </w:t>
      </w:r>
      <w:r>
        <w:rPr>
          <w:rFonts w:hint="eastAsia"/>
          <w:sz w:val="21"/>
          <w:szCs w:val="21"/>
          <w:lang w:val="en-US" w:eastAsia="zh-CN"/>
        </w:rPr>
        <w:t>真：</w:t>
      </w:r>
      <w:r>
        <w:rPr>
          <w:rFonts w:hint="default"/>
          <w:sz w:val="21"/>
          <w:szCs w:val="21"/>
          <w:lang w:val="en-US" w:eastAsia="zh-CN"/>
        </w:rPr>
        <w:t>010</w:t>
      </w:r>
      <w:r>
        <w:rPr>
          <w:rFonts w:hint="eastAsia"/>
          <w:sz w:val="21"/>
          <w:szCs w:val="21"/>
          <w:lang w:val="en-US" w:eastAsia="zh-CN"/>
        </w:rPr>
        <w:t>-</w:t>
      </w:r>
      <w:r>
        <w:rPr>
          <w:rFonts w:hint="default"/>
          <w:sz w:val="21"/>
          <w:szCs w:val="21"/>
          <w:lang w:val="en-US" w:eastAsia="zh-CN"/>
        </w:rPr>
        <w:t>66017331</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邮</w:t>
      </w:r>
      <w:r>
        <w:rPr>
          <w:rFonts w:hint="default"/>
          <w:sz w:val="21"/>
          <w:szCs w:val="21"/>
          <w:lang w:val="en-US" w:eastAsia="zh-CN"/>
        </w:rPr>
        <w:t>  </w:t>
      </w:r>
      <w:r>
        <w:rPr>
          <w:rFonts w:hint="eastAsia"/>
          <w:sz w:val="21"/>
          <w:szCs w:val="21"/>
          <w:lang w:val="en-US" w:eastAsia="zh-CN"/>
        </w:rPr>
        <w:t>箱：dsme@miit.gov.cn</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工业和信息化部人才交流中心</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联系人：刘文红、刘 洋、白 晓</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电</w:t>
      </w:r>
      <w:r>
        <w:rPr>
          <w:rFonts w:hint="default"/>
          <w:sz w:val="21"/>
          <w:szCs w:val="21"/>
          <w:lang w:val="en-US" w:eastAsia="zh-CN"/>
        </w:rPr>
        <w:t>  </w:t>
      </w:r>
      <w:r>
        <w:rPr>
          <w:rFonts w:hint="eastAsia"/>
          <w:sz w:val="21"/>
          <w:szCs w:val="21"/>
          <w:lang w:val="en-US" w:eastAsia="zh-CN"/>
        </w:rPr>
        <w:t>话：</w:t>
      </w:r>
      <w:r>
        <w:rPr>
          <w:rFonts w:hint="default"/>
          <w:sz w:val="21"/>
          <w:szCs w:val="21"/>
          <w:lang w:val="en-US" w:eastAsia="zh-CN"/>
        </w:rPr>
        <w:t>010</w:t>
      </w:r>
      <w:r>
        <w:rPr>
          <w:rFonts w:hint="eastAsia"/>
          <w:sz w:val="21"/>
          <w:szCs w:val="21"/>
          <w:lang w:val="en-US" w:eastAsia="zh-CN"/>
        </w:rPr>
        <w:t>-</w:t>
      </w:r>
      <w:r>
        <w:rPr>
          <w:rFonts w:hint="default"/>
          <w:sz w:val="21"/>
          <w:szCs w:val="21"/>
          <w:lang w:val="en-US" w:eastAsia="zh-CN"/>
        </w:rPr>
        <w:t>68207889</w:t>
      </w:r>
      <w:r>
        <w:rPr>
          <w:rFonts w:hint="eastAsia"/>
          <w:sz w:val="21"/>
          <w:szCs w:val="21"/>
          <w:lang w:val="en-US" w:eastAsia="zh-CN"/>
        </w:rPr>
        <w:t>/</w:t>
      </w:r>
      <w:r>
        <w:rPr>
          <w:rFonts w:hint="default"/>
          <w:sz w:val="21"/>
          <w:szCs w:val="21"/>
          <w:lang w:val="en-US" w:eastAsia="zh-CN"/>
        </w:rPr>
        <w:t>68208660</w:t>
      </w:r>
      <w:r>
        <w:rPr>
          <w:rFonts w:hint="eastAsia"/>
          <w:sz w:val="21"/>
          <w:szCs w:val="21"/>
          <w:lang w:val="en-US" w:eastAsia="zh-CN"/>
        </w:rPr>
        <w:t>/</w:t>
      </w:r>
      <w:r>
        <w:rPr>
          <w:rFonts w:hint="default"/>
          <w:sz w:val="21"/>
          <w:szCs w:val="21"/>
          <w:lang w:val="en-US" w:eastAsia="zh-CN"/>
        </w:rPr>
        <w:t>68224910</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传</w:t>
      </w:r>
      <w:r>
        <w:rPr>
          <w:rFonts w:hint="default"/>
          <w:sz w:val="21"/>
          <w:szCs w:val="21"/>
          <w:lang w:val="en-US" w:eastAsia="zh-CN"/>
        </w:rPr>
        <w:t>  </w:t>
      </w:r>
      <w:r>
        <w:rPr>
          <w:rFonts w:hint="eastAsia"/>
          <w:sz w:val="21"/>
          <w:szCs w:val="21"/>
          <w:lang w:val="en-US" w:eastAsia="zh-CN"/>
        </w:rPr>
        <w:t>真：</w:t>
      </w:r>
      <w:r>
        <w:rPr>
          <w:rFonts w:hint="default"/>
          <w:sz w:val="21"/>
          <w:szCs w:val="21"/>
          <w:lang w:val="en-US" w:eastAsia="zh-CN"/>
        </w:rPr>
        <w:t>010</w:t>
      </w:r>
      <w:r>
        <w:rPr>
          <w:rFonts w:hint="eastAsia"/>
          <w:sz w:val="21"/>
          <w:szCs w:val="21"/>
          <w:lang w:val="en-US" w:eastAsia="zh-CN"/>
        </w:rPr>
        <w:t>-</w:t>
      </w:r>
      <w:r>
        <w:rPr>
          <w:rFonts w:hint="default"/>
          <w:sz w:val="21"/>
          <w:szCs w:val="21"/>
          <w:lang w:val="en-US" w:eastAsia="zh-CN"/>
        </w:rPr>
        <w:t>68217322</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邮</w:t>
      </w:r>
      <w:r>
        <w:rPr>
          <w:rFonts w:hint="default"/>
          <w:sz w:val="21"/>
          <w:szCs w:val="21"/>
          <w:lang w:val="en-US" w:eastAsia="zh-CN"/>
        </w:rPr>
        <w:t>  </w:t>
      </w:r>
      <w:r>
        <w:rPr>
          <w:rFonts w:hint="eastAsia"/>
          <w:sz w:val="21"/>
          <w:szCs w:val="21"/>
          <w:lang w:val="en-US" w:eastAsia="zh-CN"/>
        </w:rPr>
        <w:t>箱：leader@miitec.org.cn</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附件：</w:t>
      </w:r>
      <w:r>
        <w:rPr>
          <w:rFonts w:hint="eastAsia"/>
          <w:sz w:val="21"/>
          <w:szCs w:val="21"/>
          <w:lang w:val="en-US" w:eastAsia="zh-CN"/>
        </w:rPr>
        <w:fldChar w:fldCharType="begin"/>
      </w:r>
      <w:r>
        <w:rPr>
          <w:rFonts w:hint="eastAsia"/>
          <w:sz w:val="21"/>
          <w:szCs w:val="21"/>
          <w:lang w:val="en-US" w:eastAsia="zh-CN"/>
        </w:rPr>
        <w:instrText xml:space="preserve"> HYPERLINK "http://www.miit.gov.cn/n1146285/n1146352/n3054355/n3057527/n3057529/c6955934/part/6955949.doc" </w:instrText>
      </w:r>
      <w:r>
        <w:rPr>
          <w:rFonts w:hint="eastAsia"/>
          <w:sz w:val="21"/>
          <w:szCs w:val="21"/>
          <w:lang w:val="en-US" w:eastAsia="zh-CN"/>
        </w:rPr>
        <w:fldChar w:fldCharType="separate"/>
      </w:r>
      <w:r>
        <w:rPr>
          <w:rFonts w:hint="eastAsia"/>
          <w:sz w:val="21"/>
          <w:szCs w:val="21"/>
          <w:lang w:val="en-US" w:eastAsia="zh-CN"/>
        </w:rPr>
        <w:t>领军人才培训工作信息表</w:t>
      </w:r>
      <w:r>
        <w:rPr>
          <w:rFonts w:hint="eastAsia"/>
          <w:sz w:val="21"/>
          <w:szCs w:val="21"/>
          <w:lang w:val="en-US" w:eastAsia="zh-CN"/>
        </w:rPr>
        <w:fldChar w:fldCharType="end"/>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                          </w:t>
      </w:r>
    </w:p>
    <w:p>
      <w:pPr>
        <w:pStyle w:val="20"/>
        <w:spacing w:before="0" w:beforeAutospacing="0" w:after="0" w:afterAutospacing="0" w:line="360" w:lineRule="auto"/>
        <w:ind w:left="0" w:leftChars="0" w:firstLine="420" w:firstLineChars="200"/>
        <w:jc w:val="righ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工业和信息化部办公厅</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                           </w:t>
      </w:r>
      <w:r>
        <w:rPr>
          <w:rFonts w:hint="default"/>
          <w:sz w:val="21"/>
          <w:szCs w:val="21"/>
          <w:lang w:val="en-US" w:eastAsia="zh-CN"/>
        </w:rPr>
        <w:t>2019</w:t>
      </w:r>
      <w:r>
        <w:rPr>
          <w:rFonts w:hint="eastAsia"/>
          <w:sz w:val="21"/>
          <w:szCs w:val="21"/>
          <w:lang w:val="en-US" w:eastAsia="zh-CN"/>
        </w:rPr>
        <w:t>年</w:t>
      </w:r>
      <w:r>
        <w:rPr>
          <w:rFonts w:hint="default"/>
          <w:sz w:val="21"/>
          <w:szCs w:val="21"/>
          <w:lang w:val="en-US" w:eastAsia="zh-CN"/>
        </w:rPr>
        <w:t>5</w:t>
      </w:r>
      <w:r>
        <w:rPr>
          <w:rFonts w:hint="eastAsia"/>
          <w:sz w:val="21"/>
          <w:szCs w:val="21"/>
          <w:lang w:val="en-US" w:eastAsia="zh-CN"/>
        </w:rPr>
        <w:t>月</w:t>
      </w:r>
      <w:r>
        <w:rPr>
          <w:rFonts w:hint="default"/>
          <w:sz w:val="21"/>
          <w:szCs w:val="21"/>
          <w:lang w:val="en-US" w:eastAsia="zh-CN"/>
        </w:rPr>
        <w:t>8</w:t>
      </w:r>
      <w:r>
        <w:rPr>
          <w:rFonts w:hint="eastAsia"/>
          <w:sz w:val="21"/>
          <w:szCs w:val="21"/>
          <w:lang w:val="en-US" w:eastAsia="zh-CN"/>
        </w:rPr>
        <w:t>日</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p>
    <w:p>
      <w:pPr>
        <w:pStyle w:val="20"/>
        <w:spacing w:before="0" w:beforeAutospacing="0" w:after="0" w:afterAutospacing="0" w:line="360" w:lineRule="auto"/>
        <w:ind w:left="0" w:leftChars="0" w:firstLine="420" w:firstLineChars="200"/>
        <w:jc w:val="both"/>
        <w:rPr>
          <w:rFonts w:hint="eastAsia"/>
          <w:sz w:val="21"/>
          <w:szCs w:val="21"/>
          <w:lang w:val="en-US" w:eastAsia="zh-CN"/>
        </w:rPr>
      </w:pPr>
    </w:p>
    <w:p>
      <w:pPr>
        <w:pStyle w:val="20"/>
        <w:spacing w:before="0" w:beforeAutospacing="0" w:after="0" w:afterAutospacing="0" w:line="360" w:lineRule="auto"/>
        <w:ind w:left="0" w:leftChars="0" w:firstLine="420" w:firstLineChars="200"/>
        <w:jc w:val="both"/>
        <w:rPr>
          <w:rFonts w:hint="eastAsia"/>
          <w:sz w:val="21"/>
          <w:szCs w:val="21"/>
          <w:lang w:val="en-US" w:eastAsia="zh-CN"/>
        </w:rPr>
      </w:pPr>
    </w:p>
    <w:p>
      <w:pPr>
        <w:pStyle w:val="20"/>
        <w:spacing w:before="0" w:beforeAutospacing="0" w:after="0" w:afterAutospacing="0" w:line="360" w:lineRule="auto"/>
        <w:ind w:left="0" w:leftChars="0" w:firstLine="420" w:firstLineChars="200"/>
        <w:jc w:val="both"/>
        <w:rPr>
          <w:rFonts w:hint="eastAsia"/>
          <w:sz w:val="21"/>
          <w:szCs w:val="21"/>
          <w:lang w:val="en-US" w:eastAsia="zh-CN"/>
        </w:rPr>
      </w:pPr>
    </w:p>
    <w:p>
      <w:pPr>
        <w:keepNext w:val="0"/>
        <w:keepLines w:val="0"/>
        <w:widowControl/>
        <w:suppressLineNumbers w:val="0"/>
        <w:spacing w:line="432" w:lineRule="auto"/>
        <w:jc w:val="center"/>
        <w:outlineLvl w:val="1"/>
        <w:rPr>
          <w:rFonts w:hint="eastAsia" w:ascii="宋体" w:hAnsi="宋体" w:eastAsia="宋体" w:cs="宋体"/>
          <w:b/>
          <w:color w:val="auto"/>
          <w:sz w:val="30"/>
          <w:szCs w:val="30"/>
        </w:rPr>
      </w:pPr>
      <w:bookmarkStart w:id="136" w:name="_Toc545"/>
      <w:r>
        <w:rPr>
          <w:rFonts w:hint="eastAsia" w:ascii="宋体" w:hAnsi="宋体" w:eastAsia="宋体" w:cs="宋体"/>
          <w:b/>
          <w:color w:val="auto"/>
          <w:kern w:val="0"/>
          <w:sz w:val="30"/>
          <w:szCs w:val="30"/>
          <w:lang w:val="en-US" w:eastAsia="zh-CN" w:bidi="ar"/>
        </w:rPr>
        <w:t>关于集成电路设计和软件产业企业所得税政策的公告</w:t>
      </w:r>
      <w:bookmarkEnd w:id="136"/>
      <w:r>
        <w:rPr>
          <w:rFonts w:hint="eastAsia" w:ascii="宋体" w:hAnsi="宋体" w:eastAsia="宋体" w:cs="宋体"/>
          <w:b/>
          <w:color w:val="auto"/>
          <w:kern w:val="0"/>
          <w:sz w:val="30"/>
          <w:szCs w:val="30"/>
          <w:lang w:val="en-US" w:eastAsia="zh-CN" w:bidi="ar"/>
        </w:rPr>
        <w:t xml:space="preserve"> </w:t>
      </w:r>
    </w:p>
    <w:p>
      <w:pPr>
        <w:pStyle w:val="20"/>
        <w:keepNext w:val="0"/>
        <w:keepLines w:val="0"/>
        <w:widowControl/>
        <w:suppressLineNumbers w:val="0"/>
        <w:spacing w:after="210" w:afterAutospacing="0" w:line="22" w:lineRule="atLeast"/>
        <w:jc w:val="center"/>
        <w:outlineLvl w:val="1"/>
        <w:rPr>
          <w:rFonts w:hint="eastAsia" w:ascii="宋体" w:hAnsi="宋体" w:eastAsia="宋体" w:cs="宋体"/>
          <w:sz w:val="24"/>
          <w:szCs w:val="24"/>
        </w:rPr>
      </w:pPr>
      <w:bookmarkStart w:id="137" w:name="_Toc17898"/>
      <w:r>
        <w:rPr>
          <w:rStyle w:val="24"/>
          <w:rFonts w:hint="eastAsia" w:ascii="宋体" w:hAnsi="宋体" w:eastAsia="宋体" w:cs="宋体"/>
          <w:sz w:val="24"/>
          <w:szCs w:val="24"/>
        </w:rPr>
        <w:t>财政部　税务总局公告2019年第68号</w:t>
      </w:r>
      <w:bookmarkEnd w:id="137"/>
      <w:r>
        <w:rPr>
          <w:rStyle w:val="24"/>
          <w:rFonts w:hint="eastAsia" w:ascii="宋体" w:hAnsi="宋体" w:eastAsia="宋体" w:cs="宋体"/>
          <w:sz w:val="24"/>
          <w:szCs w:val="24"/>
        </w:rPr>
        <w:t xml:space="preserve"> </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为支持集成电路设计和软件产业发展，现就有关企业所得税政策公告如下：</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一、依法成立且符合条件的集成电路设计企业和软件企业，在2018年12月31日前自获利年度起计算优惠期，第一年至第二年免征企业所得税，第三年至第五年按照25%的法定税率减半征收企业所得税，并享受至期满为止。</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二、本公告第一条所称“符合条件”，是指符合《财政部 国家税务总局关于进一步鼓励软件产业和集成电路产业发展企业所得税政策的通知》（财税〔2012〕27号）和《财政部 国家税务总局 发展改革委 工业和信息化部关于软件和集成电路产业企业所得税优惠政策有关问题的通知》（财税〔2016〕49号）规定的条件。</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特此公告。　　</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财政部　税务总局</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2019年5月17日</w:t>
      </w:r>
    </w:p>
    <w:p>
      <w:pPr>
        <w:keepNext w:val="0"/>
        <w:keepLines w:val="0"/>
        <w:widowControl/>
        <w:suppressLineNumbers w:val="0"/>
        <w:spacing w:line="432" w:lineRule="auto"/>
        <w:jc w:val="left"/>
        <w:rPr>
          <w:rFonts w:hint="eastAsia" w:ascii="宋体" w:hAnsi="宋体" w:eastAsia="宋体" w:cs="宋体"/>
          <w:vanish/>
          <w:sz w:val="19"/>
          <w:szCs w:val="19"/>
        </w:rPr>
      </w:pPr>
      <w:r>
        <w:rPr>
          <w:rFonts w:hint="eastAsia" w:ascii="宋体" w:hAnsi="宋体" w:eastAsia="宋体" w:cs="宋体"/>
          <w:vanish/>
          <w:kern w:val="0"/>
          <w:sz w:val="19"/>
          <w:szCs w:val="19"/>
          <w:lang w:val="en-US" w:eastAsia="zh-CN" w:bidi="ar"/>
        </w:rPr>
        <w:t xml:space="preserve">  </w:t>
      </w:r>
    </w:p>
    <w:p>
      <w:pPr>
        <w:keepNext w:val="0"/>
        <w:keepLines w:val="0"/>
        <w:widowControl/>
        <w:suppressLineNumbers w:val="0"/>
        <w:tabs>
          <w:tab w:val="left" w:pos="807"/>
        </w:tabs>
        <w:spacing w:line="432" w:lineRule="auto"/>
        <w:jc w:val="left"/>
        <w:rPr>
          <w:rFonts w:hint="eastAsia" w:ascii="宋体" w:hAnsi="宋体" w:eastAsia="宋体" w:cs="宋体"/>
          <w:vanish/>
          <w:sz w:val="19"/>
          <w:szCs w:val="19"/>
        </w:rPr>
      </w:pPr>
      <w:r>
        <w:rPr>
          <w:rFonts w:hint="eastAsia" w:ascii="宋体" w:hAnsi="宋体" w:eastAsia="宋体" w:cs="宋体"/>
          <w:vanish/>
          <w:sz w:val="19"/>
          <w:szCs w:val="19"/>
        </w:rPr>
        <w:t>附件下载:</w:t>
      </w:r>
      <w:r>
        <w:rPr>
          <w:vanish/>
        </w:rPr>
        <w:tab/>
      </w:r>
      <w:r>
        <w:rPr>
          <w:rFonts w:hint="eastAsia" w:ascii="宋体" w:hAnsi="宋体" w:eastAsia="宋体" w:cs="宋体"/>
          <w:vanish/>
          <w:kern w:val="0"/>
          <w:sz w:val="19"/>
          <w:szCs w:val="19"/>
          <w:lang w:val="en-US" w:eastAsia="zh-CN" w:bidi="ar"/>
        </w:rPr>
        <w:t xml:space="preserve">  </w:t>
      </w:r>
    </w:p>
    <w:p>
      <w:pPr>
        <w:jc w:val="center"/>
        <w:rPr>
          <w:rFonts w:hint="eastAsia" w:ascii="宋体" w:hAnsi="宋体" w:eastAsia="宋体" w:cs="宋体"/>
          <w:sz w:val="14"/>
          <w:szCs w:val="14"/>
        </w:rPr>
      </w:pPr>
    </w:p>
    <w:p>
      <w:pPr>
        <w:pStyle w:val="20"/>
        <w:spacing w:before="0" w:beforeAutospacing="0" w:after="0" w:afterAutospacing="0" w:line="360" w:lineRule="auto"/>
        <w:ind w:left="0" w:leftChars="0" w:firstLine="420" w:firstLineChars="200"/>
        <w:jc w:val="both"/>
        <w:rPr>
          <w:rFonts w:hint="eastAsia"/>
          <w:sz w:val="21"/>
          <w:szCs w:val="21"/>
          <w:lang w:val="en-US" w:eastAsia="zh-CN"/>
        </w:rPr>
      </w:pPr>
    </w:p>
    <w:p>
      <w:pPr>
        <w:pStyle w:val="20"/>
        <w:spacing w:before="0" w:beforeAutospacing="0" w:after="0" w:afterAutospacing="0" w:line="360" w:lineRule="auto"/>
        <w:ind w:left="0" w:leftChars="0" w:firstLine="420" w:firstLineChars="200"/>
        <w:jc w:val="both"/>
        <w:rPr>
          <w:rFonts w:hint="eastAsia"/>
          <w:sz w:val="21"/>
          <w:szCs w:val="21"/>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jc w:val="center"/>
        <w:textAlignment w:val="auto"/>
        <w:outlineLvl w:val="1"/>
        <w:rPr>
          <w:rFonts w:hint="eastAsia" w:ascii="宋体" w:hAnsi="宋体" w:eastAsia="宋体" w:cs="宋体"/>
          <w:b/>
          <w:color w:val="auto"/>
          <w:sz w:val="30"/>
          <w:szCs w:val="30"/>
          <w:u w:val="none"/>
        </w:rPr>
      </w:pPr>
      <w:bookmarkStart w:id="138" w:name="_Toc1477"/>
      <w:r>
        <w:rPr>
          <w:rFonts w:hint="eastAsia" w:ascii="宋体" w:hAnsi="宋体" w:eastAsia="宋体" w:cs="宋体"/>
          <w:b/>
          <w:color w:val="auto"/>
          <w:kern w:val="0"/>
          <w:sz w:val="30"/>
          <w:szCs w:val="30"/>
          <w:u w:val="none"/>
          <w:lang w:val="en-US" w:eastAsia="zh-CN" w:bidi="ar"/>
        </w:rPr>
        <w:t>科技部办公厅 财政部办公厅关于开展中央级高等学校和科研院所等单位重大科研基础设施和大型科研仪器开放共享评价考核工作的通知</w:t>
      </w:r>
      <w:bookmarkEnd w:id="138"/>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outlineLvl w:val="1"/>
        <w:rPr>
          <w:b/>
          <w:bCs/>
          <w:sz w:val="24"/>
          <w:szCs w:val="24"/>
        </w:rPr>
      </w:pPr>
      <w:bookmarkStart w:id="139" w:name="_Toc6466"/>
      <w:r>
        <w:rPr>
          <w:rFonts w:hint="eastAsia" w:ascii="宋体" w:hAnsi="宋体" w:eastAsia="宋体" w:cs="宋体"/>
          <w:b/>
          <w:bCs/>
          <w:color w:val="333333"/>
          <w:sz w:val="24"/>
          <w:szCs w:val="24"/>
          <w:u w:val="none"/>
        </w:rPr>
        <w:t>国科办基〔2019〕49号</w:t>
      </w:r>
      <w:bookmarkEnd w:id="139"/>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left"/>
        <w:textAlignment w:val="auto"/>
        <w:rPr>
          <w:sz w:val="21"/>
          <w:szCs w:val="21"/>
        </w:rPr>
      </w:pPr>
      <w:r>
        <w:rPr>
          <w:rFonts w:hint="eastAsia" w:ascii="宋体" w:hAnsi="宋体" w:eastAsia="宋体" w:cs="宋体"/>
          <w:color w:val="333333"/>
          <w:sz w:val="21"/>
          <w:szCs w:val="21"/>
          <w:u w:val="none"/>
        </w:rPr>
        <w:t>各有关部门科技主管单位：</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为深入贯彻落实《国务院关于国家重大科研基础设施和大型科研仪器向社会开放的意见》（国发〔2014〕70号），促进科研设施与仪器开放共享，切实提高科技资源配置和使用效率，更好地为科技创新和社会服务，科技部、财政部决定开展2019年中央级高等学校和科研院所重大科研基础设施和大型科研仪器开放共享评价考核工作。现将有关事项通知如下。</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xml:space="preserve">    </w:t>
      </w:r>
      <w:r>
        <w:rPr>
          <w:rStyle w:val="24"/>
          <w:rFonts w:hint="eastAsia" w:ascii="宋体" w:hAnsi="宋体" w:eastAsia="宋体" w:cs="宋体"/>
          <w:color w:val="333333"/>
          <w:sz w:val="21"/>
          <w:szCs w:val="21"/>
          <w:u w:val="none"/>
        </w:rPr>
        <w:t>一、评价考核目的</w:t>
      </w:r>
      <w:r>
        <w:rPr>
          <w:rStyle w:val="24"/>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评价考核是国发〔2014〕70号文确定的重点任务，是推动科研设施与仪器开放共享的重要举措，是建立奖惩机制的重要依据。根据评价考核结果，对评价考核结果较好的单位，通过后补助予以支持；对于评价考核结果较差的单位，视具体情况予以公开通报、核减相关经费等相应的处理。同时，评价考核结果将作为科技创新基地、科研机构等评估的重要依据。</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w:t>
      </w:r>
      <w:r>
        <w:rPr>
          <w:rStyle w:val="24"/>
          <w:rFonts w:hint="eastAsia" w:ascii="宋体" w:hAnsi="宋体" w:eastAsia="宋体" w:cs="宋体"/>
          <w:color w:val="333333"/>
          <w:sz w:val="21"/>
          <w:szCs w:val="21"/>
          <w:u w:val="none"/>
        </w:rPr>
        <w:t>  二、评价考核范围</w:t>
      </w:r>
      <w:r>
        <w:rPr>
          <w:rStyle w:val="24"/>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本次评价考核范围为中央级高等学校和科研院所等单位，以法人单位为考核对象，对其拥有的重大科研基础设施和原值50万元以上的大型科研仪器2018年度的开放共享情况进行评价考核。2018年评价考核结果为较差的26家单位尚处于整改期，不纳入考核范围。</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w:t>
      </w:r>
      <w:r>
        <w:rPr>
          <w:rStyle w:val="24"/>
          <w:rFonts w:hint="eastAsia" w:ascii="宋体" w:hAnsi="宋体" w:eastAsia="宋体" w:cs="宋体"/>
          <w:color w:val="333333"/>
          <w:sz w:val="21"/>
          <w:szCs w:val="21"/>
          <w:u w:val="none"/>
        </w:rPr>
        <w:t xml:space="preserve"> 三、评价考核内容</w:t>
      </w:r>
      <w:r>
        <w:rPr>
          <w:rStyle w:val="24"/>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1. 运行使用情况，包括法人单位应开放仪器的运行使用总体情况，支撑服务重大科研任务情况等。</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2. 共享服务成效，包括围绕重大科技创新和中小微企业需求，对法人单位以外的单位提供共享服务的情况，支撑服务外单位科技创新的重要成果等。</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3. 组织管理情况，包括开放共享管理制度建设情况，纳入科研设施与仪器国家网络管理平台的仪器情况，集约化管理情况，实验队伍建设情况等。</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xml:space="preserve">    </w:t>
      </w:r>
      <w:r>
        <w:rPr>
          <w:rStyle w:val="24"/>
          <w:rFonts w:hint="eastAsia" w:ascii="宋体" w:hAnsi="宋体" w:eastAsia="宋体" w:cs="宋体"/>
          <w:color w:val="333333"/>
          <w:sz w:val="21"/>
          <w:szCs w:val="21"/>
          <w:u w:val="none"/>
        </w:rPr>
        <w:t>四、有关要求</w:t>
      </w:r>
      <w:r>
        <w:rPr>
          <w:rStyle w:val="24"/>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1. 各有关部门要高度重视，精心组织，加强对本部门参评单位相关工作的指导和督促，对所属单位报送的数据和自评报告审核把关，汇总相关材料，确保本次评价考核工作顺利开展。</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2. 参评单位要对本单位重大科研基础设施和大型科研仪器开放共享情况进行总结评估，按照自评报告提纲（见附件）的要求，在国家网络管理平台（nrii.org.cn）上填报相关信息，形成自评报告，并打印纸质版（一式3份）交主管部门汇总。</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3. 6月21日前，参评单位要将部门审核过的自评报告电子版通过国家网络管理平台提交，各有关部门将汇总的纸质材料寄至国家科技基础条件平台中心。</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4. 参评单位要认真准备相关材料，确保数据真实可靠。评价考核将采取随机抽查的方式核实相关数据，对发现数据造假的单位，将根据相关规定记入科研严重失信行为记录。</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5. 本次评价考核的具体工作由国家科技基础条件平台中心承担。</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业务咨询联系人：王晋，任家荣</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联系电话：010-58881465，58881558</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材料邮寄地址：北京市复兴路乙15号国家科技基础条件平台中心</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科研设施与仪器国家网络管理平台联系人：王喆，刘瑞</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咨询电话：010-82311519，82338083</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left"/>
        <w:textAlignment w:val="auto"/>
        <w:rPr>
          <w:sz w:val="21"/>
          <w:szCs w:val="21"/>
        </w:rPr>
      </w:pPr>
      <w:r>
        <w:rPr>
          <w:rFonts w:hint="eastAsia" w:ascii="宋体" w:hAnsi="宋体" w:eastAsia="宋体" w:cs="宋体"/>
          <w:color w:val="333333"/>
          <w:sz w:val="21"/>
          <w:szCs w:val="21"/>
          <w:u w:val="none"/>
        </w:rPr>
        <w:t>    附件：科研设施与仪器开放共享自评报告（提纲）</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sz w:val="21"/>
          <w:szCs w:val="21"/>
        </w:rPr>
      </w:pPr>
      <w:r>
        <w:rPr>
          <w:rFonts w:hint="eastAsia" w:ascii="宋体" w:hAnsi="宋体" w:eastAsia="宋体" w:cs="宋体"/>
          <w:color w:val="333333"/>
          <w:sz w:val="21"/>
          <w:szCs w:val="21"/>
          <w:u w:val="none"/>
        </w:rPr>
        <w:t>           科技部办公厅     财政部办公厅 </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2019年5月21日 </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sz w:val="21"/>
          <w:szCs w:val="21"/>
        </w:rPr>
      </w:pPr>
      <w:r>
        <w:rPr>
          <w:rFonts w:hint="eastAsia" w:ascii="宋体" w:hAnsi="宋体" w:eastAsia="宋体" w:cs="宋体"/>
          <w:color w:val="333333"/>
          <w:sz w:val="21"/>
          <w:szCs w:val="21"/>
          <w:u w:val="none"/>
        </w:rPr>
        <w:t>（此件主动公开）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333333"/>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sz w:val="21"/>
          <w:szCs w:val="21"/>
        </w:rPr>
      </w:pPr>
      <w:r>
        <w:rPr>
          <w:rFonts w:hint="eastAsia" w:ascii="宋体" w:hAnsi="宋体" w:eastAsia="宋体" w:cs="宋体"/>
          <w:color w:val="333333"/>
          <w:kern w:val="0"/>
          <w:sz w:val="21"/>
          <w:szCs w:val="21"/>
          <w:u w:val="none"/>
          <w:lang w:val="en-US" w:eastAsia="zh-CN" w:bidi="ar"/>
        </w:rPr>
        <w:t xml:space="preserve">附件 </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sz w:val="21"/>
          <w:szCs w:val="21"/>
        </w:rPr>
      </w:pPr>
      <w:r>
        <w:rPr>
          <w:rStyle w:val="24"/>
          <w:rFonts w:hint="eastAsia" w:ascii="宋体" w:hAnsi="宋体" w:eastAsia="宋体" w:cs="宋体"/>
          <w:color w:val="333333"/>
          <w:sz w:val="21"/>
          <w:szCs w:val="21"/>
          <w:u w:val="none"/>
        </w:rPr>
        <w:t>科研设施与仪器开放共享自评报告（提纲）</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left"/>
        <w:textAlignment w:val="auto"/>
        <w:rPr>
          <w:sz w:val="21"/>
          <w:szCs w:val="21"/>
        </w:rPr>
      </w:pPr>
      <w:r>
        <w:rPr>
          <w:rStyle w:val="24"/>
          <w:rFonts w:hint="eastAsia" w:ascii="宋体" w:hAnsi="宋体" w:eastAsia="宋体" w:cs="宋体"/>
          <w:color w:val="333333"/>
          <w:sz w:val="21"/>
          <w:szCs w:val="21"/>
          <w:u w:val="none"/>
        </w:rPr>
        <w:t>    一、运行使用情况</w:t>
      </w:r>
      <w:r>
        <w:rPr>
          <w:rStyle w:val="24"/>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大型科研仪器基本信息，包括仪器名称、原值和经费来源等；年度有效运行使用情况，支撑国家重大科技创新主要成效等。</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xml:space="preserve">    </w:t>
      </w:r>
      <w:r>
        <w:rPr>
          <w:rStyle w:val="24"/>
          <w:rFonts w:hint="eastAsia" w:ascii="宋体" w:hAnsi="宋体" w:eastAsia="宋体" w:cs="宋体"/>
          <w:color w:val="333333"/>
          <w:sz w:val="21"/>
          <w:szCs w:val="21"/>
          <w:u w:val="none"/>
        </w:rPr>
        <w:t>二、共享服务成效</w:t>
      </w:r>
      <w:r>
        <w:rPr>
          <w:rStyle w:val="24"/>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大型科研仪器对法人单位以外的单位提供共享服务的机时和收入情况（需提供服务收入记录清单），服务支撑外单位科技创新及产生的重要成果等。</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重大科研基础设施信息，技术支撑团队建设情况，运行效率，对法人单位以外的单位共享服务和收入情况，支撑科研创新和重大工程项目重要成果等。</w:t>
      </w:r>
      <w:r>
        <w:rPr>
          <w:rFonts w:hint="eastAsia" w:ascii="宋体" w:hAnsi="宋体" w:eastAsia="宋体" w:cs="宋体"/>
          <w:color w:val="333333"/>
          <w:sz w:val="21"/>
          <w:szCs w:val="21"/>
          <w:u w:val="none"/>
        </w:rPr>
        <w:br w:type="textWrapping"/>
      </w:r>
      <w:r>
        <w:rPr>
          <w:rStyle w:val="24"/>
          <w:rFonts w:hint="eastAsia" w:ascii="宋体" w:hAnsi="宋体" w:eastAsia="宋体" w:cs="宋体"/>
          <w:color w:val="333333"/>
          <w:sz w:val="21"/>
          <w:szCs w:val="21"/>
          <w:u w:val="none"/>
        </w:rPr>
        <w:t>    三、组织管理情况</w:t>
      </w:r>
      <w:r>
        <w:rPr>
          <w:rStyle w:val="24"/>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开放共享管理制度建设情况，应开放仪器数量（需提供大型科研仪器资产清单），纳入国家网络管理平台开放仪器数量，在线服务平台与国家网络管理平台对接情况，实验队伍建设情况，集约化管理情况等。</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p>
    <w:p>
      <w:pPr>
        <w:pStyle w:val="20"/>
        <w:spacing w:before="0" w:beforeAutospacing="0" w:after="0" w:afterAutospacing="0" w:line="360" w:lineRule="auto"/>
        <w:ind w:left="0" w:leftChars="0" w:firstLine="420" w:firstLineChars="200"/>
        <w:jc w:val="both"/>
        <w:rPr>
          <w:rFonts w:hint="eastAsia"/>
          <w:sz w:val="21"/>
          <w:szCs w:val="21"/>
          <w:lang w:val="en-US" w:eastAsia="zh-CN"/>
        </w:rPr>
      </w:pPr>
    </w:p>
    <w:p>
      <w:pPr>
        <w:pStyle w:val="20"/>
        <w:spacing w:before="0" w:beforeAutospacing="0" w:after="0" w:afterAutospacing="0" w:line="360" w:lineRule="auto"/>
        <w:ind w:left="0" w:leftChars="0" w:firstLine="420" w:firstLineChars="200"/>
        <w:jc w:val="both"/>
        <w:rPr>
          <w:rFonts w:hint="eastAsia"/>
          <w:sz w:val="21"/>
          <w:szCs w:val="21"/>
          <w:lang w:val="en-US" w:eastAsia="zh-CN"/>
        </w:rPr>
      </w:pPr>
    </w:p>
    <w:p>
      <w:pPr>
        <w:pStyle w:val="20"/>
        <w:spacing w:before="0" w:beforeAutospacing="0" w:after="0" w:afterAutospacing="0" w:line="360" w:lineRule="auto"/>
        <w:ind w:left="0" w:leftChars="0" w:firstLine="420" w:firstLineChars="200"/>
        <w:jc w:val="both"/>
        <w:rPr>
          <w:rFonts w:hint="eastAsia"/>
          <w:sz w:val="21"/>
          <w:szCs w:val="21"/>
          <w:lang w:val="en-US" w:eastAsia="zh-CN"/>
        </w:rPr>
      </w:pPr>
    </w:p>
    <w:p>
      <w:pPr>
        <w:pStyle w:val="20"/>
        <w:spacing w:before="0" w:beforeAutospacing="0" w:after="0" w:afterAutospacing="0" w:line="360" w:lineRule="auto"/>
        <w:ind w:left="0" w:leftChars="0" w:firstLine="420" w:firstLineChars="200"/>
        <w:jc w:val="both"/>
        <w:rPr>
          <w:rFonts w:hint="eastAsia"/>
          <w:sz w:val="21"/>
          <w:szCs w:val="21"/>
          <w:lang w:val="en-US" w:eastAsia="zh-CN"/>
        </w:rPr>
      </w:pP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outlineLvl w:val="1"/>
        <w:rPr>
          <w:rFonts w:hint="eastAsia" w:ascii="宋体" w:hAnsi="宋体" w:eastAsia="宋体" w:cs="宋体"/>
          <w:b/>
          <w:bCs/>
          <w:color w:val="333333"/>
          <w:sz w:val="30"/>
          <w:szCs w:val="30"/>
          <w:u w:val="none"/>
        </w:rPr>
      </w:pPr>
      <w:bookmarkStart w:id="140" w:name="_Toc18316"/>
      <w:r>
        <w:rPr>
          <w:rFonts w:hint="eastAsia" w:ascii="宋体" w:hAnsi="宋体" w:eastAsia="宋体" w:cs="宋体"/>
          <w:b/>
          <w:bCs/>
          <w:color w:val="333333"/>
          <w:sz w:val="30"/>
          <w:szCs w:val="30"/>
          <w:u w:val="none"/>
        </w:rPr>
        <w:t>国家发展改革委 财政部关于降低</w:t>
      </w:r>
      <w:bookmarkEnd w:id="140"/>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outlineLvl w:val="1"/>
        <w:rPr>
          <w:rFonts w:hint="eastAsia" w:ascii="宋体" w:hAnsi="宋体" w:eastAsia="宋体" w:cs="宋体"/>
          <w:b/>
          <w:bCs/>
          <w:color w:val="333333"/>
          <w:sz w:val="30"/>
          <w:szCs w:val="30"/>
          <w:u w:val="none"/>
        </w:rPr>
      </w:pPr>
      <w:bookmarkStart w:id="141" w:name="_Toc8850"/>
      <w:bookmarkStart w:id="142" w:name="_Toc14203"/>
      <w:bookmarkStart w:id="143" w:name="_Toc5079"/>
      <w:bookmarkStart w:id="144" w:name="_Toc22473"/>
      <w:bookmarkStart w:id="145" w:name="_Toc31026"/>
      <w:bookmarkStart w:id="146" w:name="_Toc7323"/>
      <w:r>
        <w:rPr>
          <w:rFonts w:hint="eastAsia" w:ascii="宋体" w:hAnsi="宋体" w:eastAsia="宋体" w:cs="宋体"/>
          <w:b/>
          <w:bCs/>
          <w:color w:val="333333"/>
          <w:sz w:val="30"/>
          <w:szCs w:val="30"/>
          <w:u w:val="none"/>
        </w:rPr>
        <w:t>部分行政事业性收费标准的通知</w:t>
      </w:r>
      <w:bookmarkEnd w:id="141"/>
      <w:bookmarkEnd w:id="142"/>
      <w:bookmarkEnd w:id="143"/>
      <w:bookmarkEnd w:id="144"/>
      <w:bookmarkEnd w:id="145"/>
      <w:bookmarkEnd w:id="146"/>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outlineLvl w:val="1"/>
        <w:rPr>
          <w:rFonts w:hint="eastAsia" w:ascii="宋体" w:hAnsi="宋体" w:eastAsia="宋体" w:cs="宋体"/>
          <w:b w:val="0"/>
          <w:bCs w:val="0"/>
          <w:color w:val="333333"/>
          <w:sz w:val="24"/>
          <w:szCs w:val="24"/>
          <w:u w:val="none"/>
        </w:rPr>
      </w:pPr>
      <w:bookmarkStart w:id="147" w:name="_Toc28440"/>
      <w:r>
        <w:rPr>
          <w:rFonts w:hint="eastAsia" w:ascii="宋体" w:hAnsi="宋体" w:eastAsia="宋体" w:cs="宋体"/>
          <w:b w:val="0"/>
          <w:bCs w:val="0"/>
          <w:color w:val="333333"/>
          <w:sz w:val="24"/>
          <w:szCs w:val="24"/>
          <w:u w:val="none"/>
        </w:rPr>
        <w:t>发改价格〔2019〕914号</w:t>
      </w:r>
      <w:bookmarkEnd w:id="147"/>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333333"/>
          <w:sz w:val="21"/>
          <w:szCs w:val="21"/>
          <w:u w:val="none"/>
        </w:rPr>
      </w:pP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333333"/>
          <w:sz w:val="21"/>
          <w:szCs w:val="21"/>
          <w:u w:val="none"/>
        </w:rPr>
      </w:pPr>
      <w:r>
        <w:rPr>
          <w:rFonts w:hint="eastAsia" w:ascii="宋体" w:hAnsi="宋体" w:eastAsia="宋体" w:cs="宋体"/>
          <w:color w:val="333333"/>
          <w:sz w:val="21"/>
          <w:szCs w:val="21"/>
          <w:u w:val="none"/>
        </w:rPr>
        <w:t>工业和信息化部、移民局、知识产权局，各省、自治区、直辖市发展改革委、财政厅（局）：</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333333"/>
          <w:sz w:val="21"/>
          <w:szCs w:val="21"/>
          <w:u w:val="none"/>
        </w:rPr>
      </w:pPr>
      <w:r>
        <w:rPr>
          <w:rFonts w:hint="eastAsia" w:ascii="宋体" w:hAnsi="宋体" w:eastAsia="宋体" w:cs="宋体"/>
          <w:color w:val="333333"/>
          <w:sz w:val="21"/>
          <w:szCs w:val="21"/>
          <w:u w:val="none"/>
        </w:rPr>
        <w:t>　　为进一步加大降费力度，切实减轻社会负担，促进实体经济发展，经研究，决定降低部分行政事业性收费标准。现将有关事项通知如下。</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333333"/>
          <w:sz w:val="21"/>
          <w:szCs w:val="21"/>
          <w:u w:val="none"/>
        </w:rPr>
      </w:pPr>
      <w:r>
        <w:rPr>
          <w:rFonts w:hint="eastAsia" w:ascii="宋体" w:hAnsi="宋体" w:eastAsia="宋体" w:cs="宋体"/>
          <w:color w:val="333333"/>
          <w:sz w:val="21"/>
          <w:szCs w:val="21"/>
          <w:u w:val="none"/>
        </w:rPr>
        <w:t>　　一、自2019年7月1日起，降低无线电频率占用费、出入境证照类收费、商标注册收费等部分行政事业性收费标准（见附件）。</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333333"/>
          <w:sz w:val="21"/>
          <w:szCs w:val="21"/>
          <w:u w:val="none"/>
        </w:rPr>
      </w:pPr>
      <w:r>
        <w:rPr>
          <w:rFonts w:hint="eastAsia" w:ascii="宋体" w:hAnsi="宋体" w:eastAsia="宋体" w:cs="宋体"/>
          <w:color w:val="333333"/>
          <w:sz w:val="21"/>
          <w:szCs w:val="21"/>
          <w:u w:val="none"/>
        </w:rPr>
        <w:t>　　二、对2019年7月1日前应交未交的上述行政事业性收费，补缴时应按原标准征收。</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333333"/>
          <w:sz w:val="21"/>
          <w:szCs w:val="21"/>
          <w:u w:val="none"/>
        </w:rPr>
      </w:pPr>
      <w:r>
        <w:rPr>
          <w:rFonts w:hint="eastAsia" w:ascii="宋体" w:hAnsi="宋体" w:eastAsia="宋体" w:cs="宋体"/>
          <w:color w:val="333333"/>
          <w:sz w:val="21"/>
          <w:szCs w:val="21"/>
          <w:u w:val="none"/>
        </w:rPr>
        <w:t>　　三、各地区、各有关部门要严格执行本通知规定，对降低的行政事业性收费标准，不得以任何理由拖延或者拒绝执行。</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333333"/>
          <w:sz w:val="21"/>
          <w:szCs w:val="21"/>
          <w:u w:val="none"/>
        </w:rPr>
      </w:pPr>
      <w:r>
        <w:rPr>
          <w:rFonts w:hint="eastAsia" w:ascii="宋体" w:hAnsi="宋体" w:eastAsia="宋体" w:cs="宋体"/>
          <w:color w:val="333333"/>
          <w:sz w:val="21"/>
          <w:szCs w:val="21"/>
          <w:u w:val="none"/>
        </w:rPr>
        <w:t>　　附件：</w:t>
      </w:r>
      <w:r>
        <w:rPr>
          <w:rFonts w:hint="eastAsia" w:ascii="宋体" w:hAnsi="宋体" w:eastAsia="宋体" w:cs="宋体"/>
          <w:color w:val="333333"/>
          <w:sz w:val="21"/>
          <w:szCs w:val="21"/>
          <w:u w:val="none"/>
        </w:rPr>
        <w:fldChar w:fldCharType="begin"/>
      </w:r>
      <w:r>
        <w:rPr>
          <w:rFonts w:hint="eastAsia" w:ascii="宋体" w:hAnsi="宋体" w:eastAsia="宋体" w:cs="宋体"/>
          <w:color w:val="333333"/>
          <w:sz w:val="21"/>
          <w:szCs w:val="21"/>
          <w:u w:val="none"/>
        </w:rPr>
        <w:instrText xml:space="preserve"> HYPERLINK "http://www.ndrc.gov.cn/zwfwzx/zfdj/jggg/201906/W020190620391041617606.pdf" \t "http://www.ndrc.gov.cn/zwfwzx/zfdj/jggg/201906/_blank" </w:instrText>
      </w:r>
      <w:r>
        <w:rPr>
          <w:rFonts w:hint="eastAsia" w:ascii="宋体" w:hAnsi="宋体" w:eastAsia="宋体" w:cs="宋体"/>
          <w:color w:val="333333"/>
          <w:sz w:val="21"/>
          <w:szCs w:val="21"/>
          <w:u w:val="none"/>
        </w:rPr>
        <w:fldChar w:fldCharType="separate"/>
      </w:r>
      <w:r>
        <w:rPr>
          <w:rFonts w:hint="eastAsia" w:ascii="宋体" w:hAnsi="宋体" w:eastAsia="宋体" w:cs="宋体"/>
          <w:color w:val="333333"/>
          <w:sz w:val="21"/>
          <w:szCs w:val="21"/>
          <w:u w:val="none"/>
        </w:rPr>
        <w:t>降低的行政事业性收费标准</w:t>
      </w:r>
      <w:r>
        <w:rPr>
          <w:rFonts w:hint="eastAsia" w:ascii="宋体" w:hAnsi="宋体" w:eastAsia="宋体" w:cs="宋体"/>
          <w:color w:val="333333"/>
          <w:sz w:val="21"/>
          <w:szCs w:val="21"/>
          <w:u w:val="none"/>
        </w:rPr>
        <w:fldChar w:fldCharType="end"/>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333333"/>
          <w:sz w:val="21"/>
          <w:szCs w:val="21"/>
          <w:u w:val="none"/>
        </w:rPr>
      </w:pPr>
      <w:r>
        <w:rPr>
          <w:rFonts w:hint="eastAsia" w:ascii="宋体" w:hAnsi="宋体" w:eastAsia="宋体" w:cs="宋体"/>
          <w:color w:val="333333"/>
          <w:sz w:val="21"/>
          <w:szCs w:val="21"/>
          <w:u w:val="none"/>
        </w:rPr>
        <w:t> </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宋体" w:hAnsi="宋体" w:eastAsia="宋体" w:cs="宋体"/>
          <w:color w:val="333333"/>
          <w:sz w:val="21"/>
          <w:szCs w:val="21"/>
          <w:u w:val="none"/>
        </w:rPr>
      </w:pPr>
      <w:r>
        <w:rPr>
          <w:rFonts w:hint="eastAsia" w:ascii="宋体" w:hAnsi="宋体" w:eastAsia="宋体" w:cs="宋体"/>
          <w:color w:val="333333"/>
          <w:sz w:val="21"/>
          <w:szCs w:val="21"/>
          <w:u w:val="none"/>
        </w:rPr>
        <w:t>国家发展改革委</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宋体" w:hAnsi="宋体" w:eastAsia="宋体" w:cs="宋体"/>
          <w:color w:val="333333"/>
          <w:sz w:val="21"/>
          <w:szCs w:val="21"/>
          <w:u w:val="none"/>
        </w:rPr>
      </w:pPr>
      <w:r>
        <w:rPr>
          <w:rFonts w:hint="eastAsia" w:ascii="宋体" w:hAnsi="宋体" w:eastAsia="宋体" w:cs="宋体"/>
          <w:color w:val="333333"/>
          <w:sz w:val="21"/>
          <w:szCs w:val="21"/>
          <w:u w:val="none"/>
        </w:rPr>
        <w:t>财　　政　　部</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宋体" w:hAnsi="宋体" w:eastAsia="宋体" w:cs="宋体"/>
          <w:color w:val="333333"/>
          <w:sz w:val="21"/>
          <w:szCs w:val="21"/>
          <w:u w:val="none"/>
        </w:rPr>
      </w:pPr>
      <w:r>
        <w:rPr>
          <w:rFonts w:hint="eastAsia" w:ascii="宋体" w:hAnsi="宋体" w:eastAsia="宋体" w:cs="宋体"/>
          <w:color w:val="333333"/>
          <w:sz w:val="21"/>
          <w:szCs w:val="21"/>
          <w:u w:val="none"/>
        </w:rPr>
        <w:t>2019年5月24日</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p>
    <w:p>
      <w:pPr>
        <w:pStyle w:val="20"/>
        <w:spacing w:before="0" w:beforeAutospacing="0" w:after="0" w:afterAutospacing="0" w:line="360" w:lineRule="auto"/>
        <w:ind w:left="0" w:leftChars="0" w:firstLine="420" w:firstLineChars="200"/>
        <w:jc w:val="both"/>
        <w:rPr>
          <w:rFonts w:hint="eastAsia"/>
          <w:sz w:val="21"/>
          <w:szCs w:val="21"/>
          <w:lang w:val="en-US" w:eastAsia="zh-CN"/>
        </w:rPr>
      </w:pPr>
    </w:p>
    <w:p>
      <w:pPr>
        <w:pStyle w:val="20"/>
        <w:spacing w:before="0" w:beforeAutospacing="0" w:after="0" w:afterAutospacing="0" w:line="360" w:lineRule="auto"/>
        <w:ind w:left="0" w:leftChars="0" w:firstLine="420" w:firstLineChars="200"/>
        <w:jc w:val="both"/>
        <w:rPr>
          <w:rFonts w:hint="eastAsia"/>
          <w:sz w:val="21"/>
          <w:szCs w:val="21"/>
          <w:lang w:val="en-US" w:eastAsia="zh-CN"/>
        </w:rPr>
      </w:pPr>
    </w:p>
    <w:p>
      <w:pPr>
        <w:pStyle w:val="20"/>
        <w:spacing w:before="0" w:beforeAutospacing="0" w:after="0" w:afterAutospacing="0" w:line="360" w:lineRule="auto"/>
        <w:ind w:left="0" w:leftChars="0" w:firstLine="420" w:firstLineChars="200"/>
        <w:jc w:val="both"/>
        <w:rPr>
          <w:rFonts w:hint="eastAsia"/>
          <w:sz w:val="21"/>
          <w:szCs w:val="21"/>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i w:val="0"/>
          <w:caps w:val="0"/>
          <w:color w:val="333333"/>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outlineLvl w:val="1"/>
        <w:rPr>
          <w:i w:val="0"/>
          <w:caps w:val="0"/>
          <w:color w:val="333333"/>
          <w:spacing w:val="0"/>
          <w:sz w:val="30"/>
          <w:szCs w:val="30"/>
        </w:rPr>
      </w:pPr>
      <w:bookmarkStart w:id="148" w:name="_Toc28251"/>
      <w:r>
        <w:rPr>
          <w:i w:val="0"/>
          <w:caps w:val="0"/>
          <w:color w:val="333333"/>
          <w:spacing w:val="0"/>
          <w:sz w:val="30"/>
          <w:szCs w:val="30"/>
        </w:rPr>
        <w:t>工业和信息化部中小企业局关于做好2019年全国大众创业万众创新活动周工作的通知</w:t>
      </w:r>
      <w:bookmarkEnd w:id="148"/>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default" w:eastAsia="宋体"/>
          <w:sz w:val="24"/>
          <w:szCs w:val="24"/>
          <w:lang w:val="en-US" w:eastAsia="zh-CN"/>
        </w:rPr>
      </w:pPr>
      <w:bookmarkStart w:id="149" w:name="_Toc2386"/>
      <w:r>
        <w:rPr>
          <w:rFonts w:hint="eastAsia"/>
          <w:i w:val="0"/>
          <w:caps w:val="0"/>
          <w:color w:val="333333"/>
          <w:spacing w:val="0"/>
          <w:sz w:val="24"/>
          <w:szCs w:val="24"/>
          <w:lang w:val="en-US" w:eastAsia="zh-CN"/>
        </w:rPr>
        <w:t>工企业函</w:t>
      </w:r>
      <w:r>
        <w:rPr>
          <w:rFonts w:hint="eastAsia" w:ascii="宋体" w:hAnsi="宋体" w:eastAsia="宋体" w:cs="Times New Roman"/>
          <w:b/>
          <w:bCs/>
          <w:color w:val="auto"/>
          <w:kern w:val="2"/>
          <w:sz w:val="24"/>
          <w:szCs w:val="24"/>
          <w:lang w:val="en-US" w:eastAsia="zh-CN" w:bidi="ar-SA"/>
        </w:rPr>
        <w:t>〔2019〕</w:t>
      </w:r>
      <w:r>
        <w:rPr>
          <w:rFonts w:hint="eastAsia"/>
          <w:i w:val="0"/>
          <w:caps w:val="0"/>
          <w:color w:val="333333"/>
          <w:spacing w:val="0"/>
          <w:sz w:val="24"/>
          <w:szCs w:val="24"/>
          <w:lang w:val="en-US" w:eastAsia="zh-CN"/>
        </w:rPr>
        <w:t>298号</w:t>
      </w:r>
      <w:bookmarkEnd w:id="149"/>
    </w:p>
    <w:p>
      <w:pPr>
        <w:pStyle w:val="20"/>
        <w:spacing w:before="0" w:beforeAutospacing="0" w:after="0" w:afterAutospacing="0" w:line="360" w:lineRule="auto"/>
        <w:ind w:left="0" w:leftChars="0" w:firstLine="0" w:firstLineChars="0"/>
        <w:jc w:val="both"/>
        <w:rPr>
          <w:rFonts w:hint="eastAsia"/>
          <w:sz w:val="21"/>
          <w:szCs w:val="21"/>
          <w:lang w:val="en-US" w:eastAsia="zh-CN"/>
        </w:rPr>
      </w:pPr>
      <w:r>
        <w:rPr>
          <w:rFonts w:hint="eastAsia"/>
          <w:sz w:val="21"/>
          <w:szCs w:val="21"/>
          <w:lang w:val="en-US" w:eastAsia="zh-CN"/>
        </w:rPr>
        <w:t>各省、自治区、直辖市及计划单列市、新疆生产建设兵团中小企业主管部门：</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default"/>
          <w:sz w:val="21"/>
          <w:szCs w:val="21"/>
          <w:lang w:val="en-US" w:eastAsia="zh-CN"/>
        </w:rPr>
        <w:t>2019</w:t>
      </w:r>
      <w:r>
        <w:rPr>
          <w:rFonts w:hint="eastAsia"/>
          <w:sz w:val="21"/>
          <w:szCs w:val="21"/>
          <w:lang w:val="en-US" w:eastAsia="zh-CN"/>
        </w:rPr>
        <w:t>年全国大众创业万众创新活动周（以下简称活动周）定于</w:t>
      </w:r>
      <w:r>
        <w:rPr>
          <w:rFonts w:hint="default"/>
          <w:sz w:val="21"/>
          <w:szCs w:val="21"/>
          <w:lang w:val="en-US" w:eastAsia="zh-CN"/>
        </w:rPr>
        <w:t>6</w:t>
      </w:r>
      <w:r>
        <w:rPr>
          <w:rFonts w:hint="eastAsia"/>
          <w:sz w:val="21"/>
          <w:szCs w:val="21"/>
          <w:lang w:val="en-US" w:eastAsia="zh-CN"/>
        </w:rPr>
        <w:t>月</w:t>
      </w:r>
      <w:r>
        <w:rPr>
          <w:rFonts w:hint="default"/>
          <w:sz w:val="21"/>
          <w:szCs w:val="21"/>
          <w:lang w:val="en-US" w:eastAsia="zh-CN"/>
        </w:rPr>
        <w:t>5</w:t>
      </w:r>
      <w:r>
        <w:rPr>
          <w:rFonts w:hint="eastAsia"/>
          <w:sz w:val="21"/>
          <w:szCs w:val="21"/>
          <w:lang w:val="en-US" w:eastAsia="zh-CN"/>
        </w:rPr>
        <w:t>日至</w:t>
      </w:r>
      <w:r>
        <w:rPr>
          <w:rFonts w:hint="default"/>
          <w:sz w:val="21"/>
          <w:szCs w:val="21"/>
          <w:lang w:val="en-US" w:eastAsia="zh-CN"/>
        </w:rPr>
        <w:t>11</w:t>
      </w:r>
      <w:r>
        <w:rPr>
          <w:rFonts w:hint="eastAsia"/>
          <w:sz w:val="21"/>
          <w:szCs w:val="21"/>
          <w:lang w:val="en-US" w:eastAsia="zh-CN"/>
        </w:rPr>
        <w:t>日举办。为更好地展示中小企业“双创”成果，强化“双创”服务，活动周期间，请结合本地实际，积极组织开展丰富多彩的“双创”活动，营造中小企业“双创”氛围。现就相关工作要求通知如下：</w:t>
      </w:r>
    </w:p>
    <w:p>
      <w:pPr>
        <w:pStyle w:val="20"/>
        <w:spacing w:before="0" w:beforeAutospacing="0" w:after="0" w:afterAutospacing="0" w:line="360" w:lineRule="auto"/>
        <w:ind w:left="0" w:leftChars="0" w:firstLine="422" w:firstLineChars="200"/>
        <w:jc w:val="both"/>
        <w:rPr>
          <w:rFonts w:hint="eastAsia"/>
          <w:sz w:val="21"/>
          <w:szCs w:val="21"/>
          <w:lang w:val="en-US" w:eastAsia="zh-CN"/>
        </w:rPr>
      </w:pPr>
      <w:r>
        <w:rPr>
          <w:rFonts w:hint="eastAsia"/>
          <w:b/>
          <w:bCs/>
          <w:sz w:val="21"/>
          <w:szCs w:val="21"/>
          <w:lang w:val="en-US" w:eastAsia="zh-CN"/>
        </w:rPr>
        <w:t>一、高度重视，广泛动员。</w:t>
      </w:r>
      <w:r>
        <w:rPr>
          <w:rFonts w:hint="eastAsia"/>
          <w:sz w:val="21"/>
          <w:szCs w:val="21"/>
          <w:lang w:val="en-US" w:eastAsia="zh-CN"/>
        </w:rPr>
        <w:t>进一步提高思想认识，加强组织领导，把活动周作为贯彻落实中办国办《关于促进中小企业健康发展的指导意见》、实施创新驱动发展战略、打造“双创”升级版决策部署的重要抓手，作为优化政策环境、总结推广“双创”经验、开展“双创”服务的重要平台。采用政府搭台、多方合作的方式，广泛动员中小微企业以及各类社会资源和专业机构积极参与活动周。</w:t>
      </w:r>
    </w:p>
    <w:p>
      <w:pPr>
        <w:pStyle w:val="20"/>
        <w:spacing w:before="0" w:beforeAutospacing="0" w:after="0" w:afterAutospacing="0" w:line="360" w:lineRule="auto"/>
        <w:ind w:left="0" w:leftChars="0" w:firstLine="422" w:firstLineChars="200"/>
        <w:jc w:val="both"/>
        <w:rPr>
          <w:rFonts w:hint="eastAsia"/>
          <w:sz w:val="21"/>
          <w:szCs w:val="21"/>
          <w:lang w:val="en-US" w:eastAsia="zh-CN"/>
        </w:rPr>
      </w:pPr>
      <w:r>
        <w:rPr>
          <w:rFonts w:hint="eastAsia"/>
          <w:b/>
          <w:bCs/>
          <w:sz w:val="21"/>
          <w:szCs w:val="21"/>
          <w:lang w:val="en-US" w:eastAsia="zh-CN"/>
        </w:rPr>
        <w:t>二、加强服务，助推“双创”。</w:t>
      </w:r>
      <w:r>
        <w:rPr>
          <w:rFonts w:hint="eastAsia"/>
          <w:sz w:val="21"/>
          <w:szCs w:val="21"/>
          <w:lang w:val="en-US" w:eastAsia="zh-CN"/>
        </w:rPr>
        <w:t>发挥国家中小企业公共服务示范平台、国家小型微型企业创业创新示范基地、中小企业公共服务平台网络、大中小企业融通型和专业资本集聚型创新创业特色载体、中外中小企业合作区、中小企业信用担保机构和社会化服务机构的作用，就创业、创新、融资、市场、法律等方面开展公益性服务活动，送政策、送服务，切实解决中小企业、创业者的实际困难和问题。</w:t>
      </w:r>
    </w:p>
    <w:p>
      <w:pPr>
        <w:pStyle w:val="20"/>
        <w:spacing w:before="0" w:beforeAutospacing="0" w:after="0" w:afterAutospacing="0" w:line="360" w:lineRule="auto"/>
        <w:ind w:left="0" w:leftChars="0" w:firstLine="422" w:firstLineChars="200"/>
        <w:jc w:val="both"/>
        <w:rPr>
          <w:rFonts w:hint="eastAsia"/>
          <w:sz w:val="21"/>
          <w:szCs w:val="21"/>
          <w:lang w:val="en-US" w:eastAsia="zh-CN"/>
        </w:rPr>
      </w:pPr>
      <w:r>
        <w:rPr>
          <w:rFonts w:hint="eastAsia"/>
          <w:b/>
          <w:bCs/>
          <w:sz w:val="21"/>
          <w:szCs w:val="21"/>
          <w:lang w:val="en-US" w:eastAsia="zh-CN"/>
        </w:rPr>
        <w:t>三、创新方式，展示成果。</w:t>
      </w:r>
      <w:r>
        <w:rPr>
          <w:rFonts w:hint="eastAsia"/>
          <w:sz w:val="21"/>
          <w:szCs w:val="21"/>
          <w:lang w:val="en-US" w:eastAsia="zh-CN"/>
        </w:rPr>
        <w:t>结合本地区产业结构和中小企业发展需求，组织开展创新论坛、创业大讲堂、创业沙龙，以及创业创新大赛、展览展示等活动，挖掘优秀项目，树立典型人物，积聚大众人气，展示“双创”活动成果。</w:t>
      </w:r>
    </w:p>
    <w:p>
      <w:pPr>
        <w:pStyle w:val="20"/>
        <w:spacing w:before="0" w:beforeAutospacing="0" w:after="0" w:afterAutospacing="0" w:line="360" w:lineRule="auto"/>
        <w:ind w:left="0" w:leftChars="0" w:firstLine="422" w:firstLineChars="200"/>
        <w:jc w:val="both"/>
        <w:rPr>
          <w:rFonts w:hint="eastAsia"/>
          <w:sz w:val="21"/>
          <w:szCs w:val="21"/>
          <w:lang w:val="en-US" w:eastAsia="zh-CN"/>
        </w:rPr>
      </w:pPr>
      <w:r>
        <w:rPr>
          <w:rFonts w:hint="eastAsia"/>
          <w:b/>
          <w:bCs/>
          <w:sz w:val="21"/>
          <w:szCs w:val="21"/>
          <w:lang w:val="en-US" w:eastAsia="zh-CN"/>
        </w:rPr>
        <w:t>四、积极宣传，营造氛围。</w:t>
      </w:r>
      <w:r>
        <w:rPr>
          <w:rFonts w:hint="eastAsia"/>
          <w:sz w:val="21"/>
          <w:szCs w:val="21"/>
          <w:lang w:val="en-US" w:eastAsia="zh-CN"/>
        </w:rPr>
        <w:t>制定切实可行的宣传方案，充分发挥主流媒体、新媒体等的积极性和创造性，广泛开展线上、线下宣传活动，组织协调好活动周前的预热宣传、活动周期间的宣传和活动周之后的宣传，营造小微企业、创业者积极参与“双创”的浓厚氛围，进一步提升活动周全社会影响力。</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各地中小企业主管部门要将活动周作为</w:t>
      </w:r>
      <w:r>
        <w:rPr>
          <w:rFonts w:hint="default"/>
          <w:sz w:val="21"/>
          <w:szCs w:val="21"/>
          <w:lang w:val="en-US" w:eastAsia="zh-CN"/>
        </w:rPr>
        <w:t>2019</w:t>
      </w:r>
      <w:r>
        <w:rPr>
          <w:rFonts w:hint="eastAsia"/>
          <w:sz w:val="21"/>
          <w:szCs w:val="21"/>
          <w:lang w:val="en-US" w:eastAsia="zh-CN"/>
        </w:rPr>
        <w:t>年中小企业工作的重要任务，精心组织、统筹安排，于</w:t>
      </w:r>
      <w:r>
        <w:rPr>
          <w:rFonts w:hint="default"/>
          <w:sz w:val="21"/>
          <w:szCs w:val="21"/>
          <w:lang w:val="en-US" w:eastAsia="zh-CN"/>
        </w:rPr>
        <w:t>6</w:t>
      </w:r>
      <w:r>
        <w:rPr>
          <w:rFonts w:hint="eastAsia"/>
          <w:sz w:val="21"/>
          <w:szCs w:val="21"/>
          <w:lang w:val="en-US" w:eastAsia="zh-CN"/>
        </w:rPr>
        <w:t>月</w:t>
      </w:r>
      <w:r>
        <w:rPr>
          <w:rFonts w:hint="default"/>
          <w:sz w:val="21"/>
          <w:szCs w:val="21"/>
          <w:lang w:val="en-US" w:eastAsia="zh-CN"/>
        </w:rPr>
        <w:t>13</w:t>
      </w:r>
      <w:r>
        <w:rPr>
          <w:rFonts w:hint="eastAsia"/>
          <w:sz w:val="21"/>
          <w:szCs w:val="21"/>
          <w:lang w:val="en-US" w:eastAsia="zh-CN"/>
        </w:rPr>
        <w:t>日前将活动周总结和情况汇总表（格式见附件）报我部中小企业局，电子文档请发送至cxfwc@miit.gov.cn。</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联系电话：</w:t>
      </w:r>
      <w:r>
        <w:rPr>
          <w:rFonts w:hint="default"/>
          <w:sz w:val="21"/>
          <w:szCs w:val="21"/>
          <w:lang w:val="en-US" w:eastAsia="zh-CN"/>
        </w:rPr>
        <w:t>010</w:t>
      </w:r>
      <w:r>
        <w:rPr>
          <w:rFonts w:hint="eastAsia"/>
          <w:sz w:val="21"/>
          <w:szCs w:val="21"/>
          <w:lang w:val="en-US" w:eastAsia="zh-CN"/>
        </w:rPr>
        <w:t>-</w:t>
      </w:r>
      <w:r>
        <w:rPr>
          <w:rFonts w:hint="default"/>
          <w:sz w:val="21"/>
          <w:szCs w:val="21"/>
          <w:lang w:val="en-US" w:eastAsia="zh-CN"/>
        </w:rPr>
        <w:t>68205301</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r>
        <w:rPr>
          <w:rFonts w:hint="eastAsia"/>
          <w:sz w:val="21"/>
          <w:szCs w:val="21"/>
          <w:lang w:val="en-US" w:eastAsia="zh-CN"/>
        </w:rPr>
        <w:t>附件：</w:t>
      </w:r>
      <w:r>
        <w:rPr>
          <w:rFonts w:hint="default"/>
          <w:sz w:val="21"/>
          <w:szCs w:val="21"/>
          <w:lang w:val="en-US" w:eastAsia="zh-CN"/>
        </w:rPr>
        <w:fldChar w:fldCharType="begin"/>
      </w:r>
      <w:r>
        <w:rPr>
          <w:rFonts w:hint="default"/>
          <w:sz w:val="21"/>
          <w:szCs w:val="21"/>
          <w:lang w:val="en-US" w:eastAsia="zh-CN"/>
        </w:rPr>
        <w:instrText xml:space="preserve"> HYPERLINK "http://www.miit.gov.cn/n1146285/n1146352/n3054355/n3057527/n3057529/c6977150/part/6977165.doc" </w:instrText>
      </w:r>
      <w:r>
        <w:rPr>
          <w:rFonts w:hint="default"/>
          <w:sz w:val="21"/>
          <w:szCs w:val="21"/>
          <w:lang w:val="en-US" w:eastAsia="zh-CN"/>
        </w:rPr>
        <w:fldChar w:fldCharType="separate"/>
      </w:r>
      <w:r>
        <w:rPr>
          <w:rFonts w:hint="default"/>
          <w:sz w:val="21"/>
          <w:szCs w:val="21"/>
          <w:lang w:val="en-US" w:eastAsia="zh-CN"/>
        </w:rPr>
        <w:t>2019年全国“双创”活动周情况汇总表</w:t>
      </w:r>
      <w:r>
        <w:rPr>
          <w:rFonts w:hint="default"/>
          <w:sz w:val="21"/>
          <w:szCs w:val="21"/>
          <w:lang w:val="en-US" w:eastAsia="zh-CN"/>
        </w:rPr>
        <w:fldChar w:fldCharType="end"/>
      </w:r>
    </w:p>
    <w:p>
      <w:pPr>
        <w:pStyle w:val="20"/>
        <w:spacing w:before="0" w:beforeAutospacing="0" w:after="0" w:afterAutospacing="0" w:line="360" w:lineRule="auto"/>
        <w:ind w:left="0" w:leftChars="0" w:firstLine="420" w:firstLineChars="200"/>
        <w:jc w:val="both"/>
        <w:rPr>
          <w:rFonts w:hint="eastAsia" w:ascii="宋体" w:hAnsi="宋体" w:eastAsia="宋体" w:cs="宋体"/>
          <w:i w:val="0"/>
          <w:caps w:val="0"/>
          <w:color w:val="070707"/>
          <w:spacing w:val="0"/>
          <w:sz w:val="16"/>
          <w:szCs w:val="16"/>
        </w:rPr>
      </w:pPr>
      <w:r>
        <w:rPr>
          <w:rFonts w:hint="eastAsia"/>
          <w:sz w:val="21"/>
          <w:szCs w:val="21"/>
          <w:lang w:val="en-US" w:eastAsia="zh-CN"/>
        </w:rPr>
        <w:t>                      工业和信息化部中小企业局</w:t>
      </w:r>
      <w:r>
        <w:rPr>
          <w:rFonts w:hint="eastAsia"/>
          <w:sz w:val="21"/>
          <w:szCs w:val="21"/>
          <w:lang w:val="en-US" w:eastAsia="zh-CN"/>
        </w:rPr>
        <w:br w:type="textWrapping"/>
      </w:r>
      <w:r>
        <w:rPr>
          <w:rFonts w:hint="eastAsia"/>
          <w:sz w:val="21"/>
          <w:szCs w:val="21"/>
          <w:lang w:val="en-US" w:eastAsia="zh-CN"/>
        </w:rPr>
        <w:t>                           </w:t>
      </w:r>
      <w:r>
        <w:rPr>
          <w:rFonts w:hint="default"/>
          <w:sz w:val="21"/>
          <w:szCs w:val="21"/>
          <w:lang w:val="en-US" w:eastAsia="zh-CN"/>
        </w:rPr>
        <w:t>2019</w:t>
      </w:r>
      <w:r>
        <w:rPr>
          <w:rFonts w:hint="eastAsia"/>
          <w:sz w:val="21"/>
          <w:szCs w:val="21"/>
          <w:lang w:val="en-US" w:eastAsia="zh-CN"/>
        </w:rPr>
        <w:t>年</w:t>
      </w:r>
      <w:r>
        <w:rPr>
          <w:rFonts w:hint="default"/>
          <w:sz w:val="21"/>
          <w:szCs w:val="21"/>
          <w:lang w:val="en-US" w:eastAsia="zh-CN"/>
        </w:rPr>
        <w:t>5</w:t>
      </w:r>
      <w:r>
        <w:rPr>
          <w:rFonts w:hint="eastAsia"/>
          <w:sz w:val="21"/>
          <w:szCs w:val="21"/>
          <w:lang w:val="en-US" w:eastAsia="zh-CN"/>
        </w:rPr>
        <w:t>月</w:t>
      </w:r>
      <w:r>
        <w:rPr>
          <w:rFonts w:hint="default"/>
          <w:sz w:val="21"/>
          <w:szCs w:val="21"/>
          <w:lang w:val="en-US" w:eastAsia="zh-CN"/>
        </w:rPr>
        <w:t>28</w:t>
      </w:r>
      <w:r>
        <w:rPr>
          <w:rFonts w:hint="eastAsia"/>
          <w:sz w:val="21"/>
          <w:szCs w:val="21"/>
          <w:lang w:val="en-US" w:eastAsia="zh-CN"/>
        </w:rPr>
        <w:t>日</w:t>
      </w:r>
    </w:p>
    <w:p>
      <w:pPr>
        <w:pStyle w:val="20"/>
        <w:spacing w:before="0" w:beforeAutospacing="0" w:after="0" w:afterAutospacing="0" w:line="360" w:lineRule="auto"/>
        <w:ind w:left="0" w:leftChars="0" w:firstLine="420" w:firstLineChars="200"/>
        <w:jc w:val="both"/>
        <w:rPr>
          <w:rFonts w:hint="eastAsia"/>
          <w:sz w:val="21"/>
          <w:szCs w:val="21"/>
          <w:lang w:val="en-US" w:eastAsia="zh-CN"/>
        </w:rPr>
      </w:pPr>
    </w:p>
    <w:p>
      <w:pPr>
        <w:pStyle w:val="20"/>
        <w:spacing w:before="0" w:beforeAutospacing="0" w:after="0" w:afterAutospacing="0" w:line="360" w:lineRule="auto"/>
        <w:ind w:left="0" w:leftChars="0" w:firstLine="420" w:firstLineChars="200"/>
        <w:jc w:val="both"/>
        <w:rPr>
          <w:rFonts w:hint="default"/>
          <w:sz w:val="21"/>
          <w:szCs w:val="21"/>
          <w:lang w:val="en-US" w:eastAsia="zh-CN"/>
        </w:rPr>
      </w:pPr>
    </w:p>
    <w:p>
      <w:pPr>
        <w:pStyle w:val="20"/>
        <w:spacing w:before="0" w:beforeAutospacing="0" w:after="0" w:afterAutospacing="0" w:line="360" w:lineRule="auto"/>
        <w:ind w:left="0" w:leftChars="0" w:firstLine="420" w:firstLineChars="200"/>
        <w:jc w:val="both"/>
        <w:rPr>
          <w:rFonts w:hint="default"/>
          <w:sz w:val="21"/>
          <w:szCs w:val="21"/>
          <w:lang w:val="en-US" w:eastAsia="zh-CN"/>
        </w:rPr>
      </w:pPr>
    </w:p>
    <w:p>
      <w:pPr>
        <w:pStyle w:val="20"/>
        <w:spacing w:before="0" w:beforeAutospacing="0" w:after="0" w:afterAutospacing="0" w:line="360" w:lineRule="auto"/>
        <w:ind w:left="0" w:leftChars="0" w:firstLine="420" w:firstLineChars="200"/>
        <w:jc w:val="both"/>
        <w:rPr>
          <w:rFonts w:hint="default"/>
          <w:sz w:val="21"/>
          <w:szCs w:val="21"/>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ascii="Cambria" w:hAnsi="Cambria" w:eastAsia="宋体" w:cs="Times New Roman"/>
          <w:b/>
          <w:bCs/>
          <w:i w:val="0"/>
          <w:caps w:val="0"/>
          <w:color w:val="333333"/>
          <w:spacing w:val="0"/>
          <w:kern w:val="2"/>
          <w:sz w:val="30"/>
          <w:szCs w:val="30"/>
          <w:lang w:val="en-US" w:eastAsia="zh-CN" w:bidi="ar-SA"/>
        </w:rPr>
      </w:pPr>
      <w:bookmarkStart w:id="150" w:name="_Toc14172"/>
      <w:r>
        <w:rPr>
          <w:rFonts w:ascii="Cambria" w:hAnsi="Cambria" w:eastAsia="宋体" w:cs="Times New Roman"/>
          <w:b/>
          <w:bCs/>
          <w:i w:val="0"/>
          <w:caps w:val="0"/>
          <w:color w:val="333333"/>
          <w:spacing w:val="0"/>
          <w:kern w:val="2"/>
          <w:sz w:val="30"/>
          <w:szCs w:val="30"/>
          <w:lang w:val="en-US" w:eastAsia="zh-CN" w:bidi="ar-SA"/>
        </w:rPr>
        <w:t>工业和信息化部中小企业局关于推荐2019年度国家中小企业公共服务示范平台的通知</w:t>
      </w:r>
      <w:bookmarkEnd w:id="15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i w:val="0"/>
          <w:caps w:val="0"/>
          <w:color w:val="333333"/>
          <w:spacing w:val="0"/>
          <w:sz w:val="24"/>
          <w:szCs w:val="24"/>
          <w:lang w:val="en-US" w:eastAsia="zh-CN"/>
        </w:rPr>
      </w:pPr>
      <w:bookmarkStart w:id="151" w:name="_Toc5347"/>
      <w:r>
        <w:rPr>
          <w:rFonts w:hint="eastAsia"/>
          <w:i w:val="0"/>
          <w:caps w:val="0"/>
          <w:color w:val="333333"/>
          <w:spacing w:val="0"/>
          <w:sz w:val="24"/>
          <w:szCs w:val="24"/>
          <w:lang w:val="en-US" w:eastAsia="zh-CN"/>
        </w:rPr>
        <w:t>工企业函〔2019〕310号</w:t>
      </w:r>
      <w:bookmarkEnd w:id="151"/>
    </w:p>
    <w:p>
      <w:pPr>
        <w:pStyle w:val="20"/>
        <w:spacing w:before="0" w:beforeAutospacing="0" w:after="0" w:afterAutospacing="0" w:line="360" w:lineRule="auto"/>
        <w:jc w:val="both"/>
        <w:rPr>
          <w:rFonts w:hint="eastAsia"/>
          <w:b w:val="0"/>
          <w:bCs w:val="0"/>
          <w:sz w:val="21"/>
          <w:szCs w:val="21"/>
          <w:lang w:val="en-US" w:eastAsia="zh-CN"/>
        </w:rPr>
      </w:pPr>
      <w:r>
        <w:rPr>
          <w:rFonts w:hint="eastAsia"/>
          <w:b w:val="0"/>
          <w:bCs w:val="0"/>
          <w:sz w:val="21"/>
          <w:szCs w:val="21"/>
          <w:lang w:val="en-US" w:eastAsia="zh-CN"/>
        </w:rPr>
        <w:t>各省、自治区、直辖市及计划单列市、新疆生产建设兵团中小企业主管部门，有关行业协会，部属有关单位：</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为贯彻落实中办、国办印发的《关于促进中小企业健康发展的指导意见》，根据《国家中小企业公共服务示范平台认定管理办法》（工信部企业〔</w:t>
      </w:r>
      <w:r>
        <w:rPr>
          <w:rFonts w:hint="default"/>
          <w:b w:val="0"/>
          <w:bCs w:val="0"/>
          <w:sz w:val="21"/>
          <w:szCs w:val="21"/>
          <w:lang w:val="en-US" w:eastAsia="zh-CN"/>
        </w:rPr>
        <w:t>2017</w:t>
      </w:r>
      <w:r>
        <w:rPr>
          <w:rFonts w:hint="eastAsia"/>
          <w:b w:val="0"/>
          <w:bCs w:val="0"/>
          <w:sz w:val="21"/>
          <w:szCs w:val="21"/>
          <w:lang w:val="en-US" w:eastAsia="zh-CN"/>
        </w:rPr>
        <w:t>〕</w:t>
      </w:r>
      <w:r>
        <w:rPr>
          <w:rFonts w:hint="default"/>
          <w:b w:val="0"/>
          <w:bCs w:val="0"/>
          <w:sz w:val="21"/>
          <w:szCs w:val="21"/>
          <w:lang w:val="en-US" w:eastAsia="zh-CN"/>
        </w:rPr>
        <w:t>156</w:t>
      </w:r>
      <w:r>
        <w:rPr>
          <w:rFonts w:hint="eastAsia"/>
          <w:b w:val="0"/>
          <w:bCs w:val="0"/>
          <w:sz w:val="21"/>
          <w:szCs w:val="21"/>
          <w:lang w:val="en-US" w:eastAsia="zh-CN"/>
        </w:rPr>
        <w:t>号，以下简称《管理办法》），现就推荐</w:t>
      </w:r>
      <w:r>
        <w:rPr>
          <w:rFonts w:hint="default"/>
          <w:b w:val="0"/>
          <w:bCs w:val="0"/>
          <w:sz w:val="21"/>
          <w:szCs w:val="21"/>
          <w:lang w:val="en-US" w:eastAsia="zh-CN"/>
        </w:rPr>
        <w:t>2019</w:t>
      </w:r>
      <w:r>
        <w:rPr>
          <w:rFonts w:hint="eastAsia"/>
          <w:b w:val="0"/>
          <w:bCs w:val="0"/>
          <w:sz w:val="21"/>
          <w:szCs w:val="21"/>
          <w:lang w:val="en-US" w:eastAsia="zh-CN"/>
        </w:rPr>
        <w:t>年度国家中小企业公共服务示范平台（以下简称示范平台）有关事项通知如下：</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一、各省、自治区、直辖市中小企业主管部门和有关行业协会（名单见附件</w:t>
      </w:r>
      <w:r>
        <w:rPr>
          <w:rFonts w:hint="default"/>
          <w:b w:val="0"/>
          <w:bCs w:val="0"/>
          <w:sz w:val="21"/>
          <w:szCs w:val="21"/>
          <w:lang w:val="en-US" w:eastAsia="zh-CN"/>
        </w:rPr>
        <w:t>1</w:t>
      </w:r>
      <w:r>
        <w:rPr>
          <w:rFonts w:hint="eastAsia"/>
          <w:b w:val="0"/>
          <w:bCs w:val="0"/>
          <w:sz w:val="21"/>
          <w:szCs w:val="21"/>
          <w:lang w:val="en-US" w:eastAsia="zh-CN"/>
        </w:rPr>
        <w:t>）推荐的示范平台数量不超过</w:t>
      </w:r>
      <w:r>
        <w:rPr>
          <w:rFonts w:hint="default"/>
          <w:b w:val="0"/>
          <w:bCs w:val="0"/>
          <w:sz w:val="21"/>
          <w:szCs w:val="21"/>
          <w:lang w:val="en-US" w:eastAsia="zh-CN"/>
        </w:rPr>
        <w:t>4</w:t>
      </w:r>
      <w:r>
        <w:rPr>
          <w:rFonts w:hint="eastAsia"/>
          <w:b w:val="0"/>
          <w:bCs w:val="0"/>
          <w:sz w:val="21"/>
          <w:szCs w:val="21"/>
          <w:lang w:val="en-US" w:eastAsia="zh-CN"/>
        </w:rPr>
        <w:t>个，各计划单列市、新疆生产建设兵团推荐的示范平台数量不超过</w:t>
      </w:r>
      <w:r>
        <w:rPr>
          <w:rFonts w:hint="default"/>
          <w:b w:val="0"/>
          <w:bCs w:val="0"/>
          <w:sz w:val="21"/>
          <w:szCs w:val="21"/>
          <w:lang w:val="en-US" w:eastAsia="zh-CN"/>
        </w:rPr>
        <w:t>2</w:t>
      </w:r>
      <w:r>
        <w:rPr>
          <w:rFonts w:hint="eastAsia"/>
          <w:b w:val="0"/>
          <w:bCs w:val="0"/>
          <w:sz w:val="21"/>
          <w:szCs w:val="21"/>
          <w:lang w:val="en-US" w:eastAsia="zh-CN"/>
        </w:rPr>
        <w:t>个。超额报送不予受理。</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二、打造大中小企业融通型、专业资本集聚型、科技资源支撑型、高端人才引领型等创新创业特色载体的开发区，中外中小企业合作区，国家信息消费示范城市等，在同一地级市（开发区、合作区）内可以推荐</w:t>
      </w:r>
      <w:r>
        <w:rPr>
          <w:rFonts w:hint="default"/>
          <w:b w:val="0"/>
          <w:bCs w:val="0"/>
          <w:sz w:val="21"/>
          <w:szCs w:val="21"/>
          <w:lang w:val="en-US" w:eastAsia="zh-CN"/>
        </w:rPr>
        <w:t>1</w:t>
      </w:r>
      <w:r>
        <w:rPr>
          <w:rFonts w:hint="eastAsia"/>
          <w:b w:val="0"/>
          <w:bCs w:val="0"/>
          <w:sz w:val="21"/>
          <w:szCs w:val="21"/>
          <w:lang w:val="en-US" w:eastAsia="zh-CN"/>
        </w:rPr>
        <w:t>家公共服务平台（同时具备以上</w:t>
      </w:r>
      <w:r>
        <w:rPr>
          <w:rFonts w:hint="default"/>
          <w:b w:val="0"/>
          <w:bCs w:val="0"/>
          <w:sz w:val="21"/>
          <w:szCs w:val="21"/>
          <w:lang w:val="en-US" w:eastAsia="zh-CN"/>
        </w:rPr>
        <w:t>2</w:t>
      </w:r>
      <w:r>
        <w:rPr>
          <w:rFonts w:hint="eastAsia"/>
          <w:b w:val="0"/>
          <w:bCs w:val="0"/>
          <w:sz w:val="21"/>
          <w:szCs w:val="21"/>
          <w:lang w:val="en-US" w:eastAsia="zh-CN"/>
        </w:rPr>
        <w:t>项或</w:t>
      </w:r>
      <w:r>
        <w:rPr>
          <w:rFonts w:hint="default"/>
          <w:b w:val="0"/>
          <w:bCs w:val="0"/>
          <w:sz w:val="21"/>
          <w:szCs w:val="21"/>
          <w:lang w:val="en-US" w:eastAsia="zh-CN"/>
        </w:rPr>
        <w:t>2</w:t>
      </w:r>
      <w:r>
        <w:rPr>
          <w:rFonts w:hint="eastAsia"/>
          <w:b w:val="0"/>
          <w:bCs w:val="0"/>
          <w:sz w:val="21"/>
          <w:szCs w:val="21"/>
          <w:lang w:val="en-US" w:eastAsia="zh-CN"/>
        </w:rPr>
        <w:t>项以上条件的地级市内，只能推荐</w:t>
      </w:r>
      <w:r>
        <w:rPr>
          <w:rFonts w:hint="default"/>
          <w:b w:val="0"/>
          <w:bCs w:val="0"/>
          <w:sz w:val="21"/>
          <w:szCs w:val="21"/>
          <w:lang w:val="en-US" w:eastAsia="zh-CN"/>
        </w:rPr>
        <w:t>1</w:t>
      </w:r>
      <w:r>
        <w:rPr>
          <w:rFonts w:hint="eastAsia"/>
          <w:b w:val="0"/>
          <w:bCs w:val="0"/>
          <w:sz w:val="21"/>
          <w:szCs w:val="21"/>
          <w:lang w:val="en-US" w:eastAsia="zh-CN"/>
        </w:rPr>
        <w:t>家），报所在省（自治区、直辖市、计划单列市、新疆生产建设兵团）中小企业主管部门（以下统称省级中小企业主管部门）。工业和信息化部认定的工业产品质量控制和技术评价实验室等，直接向所在地的省级中小企业主管部门提出申请。上述平台不计入省级推荐数量。</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三、各省级中小企业主管部门、有关行业协会应按照《管理办法》的要求择优做好推荐工作，认真组织、严格标准、确保质量、按时上报。对推荐平台申请报告要认真审核，在对其服务业绩进行测评的基础上，总结提炼示范性表述，提出推荐意见。</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各有关行业协会所推荐平台应突出本行业特点，聚焦服务于产业集聚区中小企业，须经本行业协会认定、公示。</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四、请各省级中小企业主管部门、行业协会将推荐文件、《推荐</w:t>
      </w:r>
      <w:r>
        <w:rPr>
          <w:rFonts w:hint="default"/>
          <w:b w:val="0"/>
          <w:bCs w:val="0"/>
          <w:sz w:val="21"/>
          <w:szCs w:val="21"/>
          <w:lang w:val="en-US" w:eastAsia="zh-CN"/>
        </w:rPr>
        <w:t>2019</w:t>
      </w:r>
      <w:r>
        <w:rPr>
          <w:rFonts w:hint="eastAsia"/>
          <w:b w:val="0"/>
          <w:bCs w:val="0"/>
          <w:sz w:val="21"/>
          <w:szCs w:val="21"/>
          <w:lang w:val="en-US" w:eastAsia="zh-CN"/>
        </w:rPr>
        <w:t>年度国家中小企业公共服务示范平台汇总表》（见附件</w:t>
      </w:r>
      <w:r>
        <w:rPr>
          <w:rFonts w:hint="default"/>
          <w:b w:val="0"/>
          <w:bCs w:val="0"/>
          <w:sz w:val="21"/>
          <w:szCs w:val="21"/>
          <w:lang w:val="en-US" w:eastAsia="zh-CN"/>
        </w:rPr>
        <w:t>2</w:t>
      </w:r>
      <w:r>
        <w:rPr>
          <w:rFonts w:hint="eastAsia"/>
          <w:b w:val="0"/>
          <w:bCs w:val="0"/>
          <w:sz w:val="21"/>
          <w:szCs w:val="21"/>
          <w:lang w:val="en-US" w:eastAsia="zh-CN"/>
        </w:rPr>
        <w:t>）、《国家中小企业公共服务示范平台推荐表》和被推荐单位的申请材料等纸质文件一式两份，加盖公章于</w:t>
      </w:r>
      <w:r>
        <w:rPr>
          <w:rFonts w:hint="default"/>
          <w:b w:val="0"/>
          <w:bCs w:val="0"/>
          <w:sz w:val="21"/>
          <w:szCs w:val="21"/>
          <w:lang w:val="en-US" w:eastAsia="zh-CN"/>
        </w:rPr>
        <w:t>2019</w:t>
      </w:r>
      <w:r>
        <w:rPr>
          <w:rFonts w:hint="eastAsia"/>
          <w:b w:val="0"/>
          <w:bCs w:val="0"/>
          <w:sz w:val="21"/>
          <w:szCs w:val="21"/>
          <w:lang w:val="en-US" w:eastAsia="zh-CN"/>
        </w:rPr>
        <w:t>年</w:t>
      </w:r>
      <w:r>
        <w:rPr>
          <w:rFonts w:hint="default"/>
          <w:b w:val="0"/>
          <w:bCs w:val="0"/>
          <w:sz w:val="21"/>
          <w:szCs w:val="21"/>
          <w:lang w:val="en-US" w:eastAsia="zh-CN"/>
        </w:rPr>
        <w:t>7</w:t>
      </w:r>
      <w:r>
        <w:rPr>
          <w:rFonts w:hint="eastAsia"/>
          <w:b w:val="0"/>
          <w:bCs w:val="0"/>
          <w:sz w:val="21"/>
          <w:szCs w:val="21"/>
          <w:lang w:val="en-US" w:eastAsia="zh-CN"/>
        </w:rPr>
        <w:t>月</w:t>
      </w:r>
      <w:r>
        <w:rPr>
          <w:rFonts w:hint="default"/>
          <w:b w:val="0"/>
          <w:bCs w:val="0"/>
          <w:sz w:val="21"/>
          <w:szCs w:val="21"/>
          <w:lang w:val="en-US" w:eastAsia="zh-CN"/>
        </w:rPr>
        <w:t>15</w:t>
      </w:r>
      <w:r>
        <w:rPr>
          <w:rFonts w:hint="eastAsia"/>
          <w:b w:val="0"/>
          <w:bCs w:val="0"/>
          <w:sz w:val="21"/>
          <w:szCs w:val="21"/>
          <w:lang w:val="en-US" w:eastAsia="zh-CN"/>
        </w:rPr>
        <w:t>日前通过邮政特快专递，报送至工业和信息化部中小企业局（创业创新服务处），同时将全部材料的电子文档光盘一并报送。</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请有关行业协会一并报送本协会相关认定管理办法、公示文件和认定文件。</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五、部直属单位请于</w:t>
      </w:r>
      <w:r>
        <w:rPr>
          <w:rFonts w:hint="default"/>
          <w:b w:val="0"/>
          <w:bCs w:val="0"/>
          <w:sz w:val="21"/>
          <w:szCs w:val="21"/>
          <w:lang w:val="en-US" w:eastAsia="zh-CN"/>
        </w:rPr>
        <w:t>2019</w:t>
      </w:r>
      <w:r>
        <w:rPr>
          <w:rFonts w:hint="eastAsia"/>
          <w:b w:val="0"/>
          <w:bCs w:val="0"/>
          <w:sz w:val="21"/>
          <w:szCs w:val="21"/>
          <w:lang w:val="en-US" w:eastAsia="zh-CN"/>
        </w:rPr>
        <w:t>年</w:t>
      </w:r>
      <w:r>
        <w:rPr>
          <w:rFonts w:hint="default"/>
          <w:b w:val="0"/>
          <w:bCs w:val="0"/>
          <w:sz w:val="21"/>
          <w:szCs w:val="21"/>
          <w:lang w:val="en-US" w:eastAsia="zh-CN"/>
        </w:rPr>
        <w:t>7</w:t>
      </w:r>
      <w:r>
        <w:rPr>
          <w:rFonts w:hint="eastAsia"/>
          <w:b w:val="0"/>
          <w:bCs w:val="0"/>
          <w:sz w:val="21"/>
          <w:szCs w:val="21"/>
          <w:lang w:val="en-US" w:eastAsia="zh-CN"/>
        </w:rPr>
        <w:t>月</w:t>
      </w:r>
      <w:r>
        <w:rPr>
          <w:rFonts w:hint="default"/>
          <w:b w:val="0"/>
          <w:bCs w:val="0"/>
          <w:sz w:val="21"/>
          <w:szCs w:val="21"/>
          <w:lang w:val="en-US" w:eastAsia="zh-CN"/>
        </w:rPr>
        <w:t>15</w:t>
      </w:r>
      <w:r>
        <w:rPr>
          <w:rFonts w:hint="eastAsia"/>
          <w:b w:val="0"/>
          <w:bCs w:val="0"/>
          <w:sz w:val="21"/>
          <w:szCs w:val="21"/>
          <w:lang w:val="en-US" w:eastAsia="zh-CN"/>
        </w:rPr>
        <w:t>日前直接向我部提出申请，提交相关材料。</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联系电话：</w:t>
      </w:r>
      <w:r>
        <w:rPr>
          <w:rFonts w:hint="default"/>
          <w:b w:val="0"/>
          <w:bCs w:val="0"/>
          <w:sz w:val="21"/>
          <w:szCs w:val="21"/>
          <w:lang w:val="en-US" w:eastAsia="zh-CN"/>
        </w:rPr>
        <w:t>010</w:t>
      </w:r>
      <w:r>
        <w:rPr>
          <w:rFonts w:hint="eastAsia"/>
          <w:b w:val="0"/>
          <w:bCs w:val="0"/>
          <w:sz w:val="21"/>
          <w:szCs w:val="21"/>
          <w:lang w:val="en-US" w:eastAsia="zh-CN"/>
        </w:rPr>
        <w:t>-</w:t>
      </w:r>
      <w:r>
        <w:rPr>
          <w:rFonts w:hint="default"/>
          <w:b w:val="0"/>
          <w:bCs w:val="0"/>
          <w:sz w:val="21"/>
          <w:szCs w:val="21"/>
          <w:lang w:val="en-US" w:eastAsia="zh-CN"/>
        </w:rPr>
        <w:t>68205319</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传真电话：</w:t>
      </w:r>
      <w:r>
        <w:rPr>
          <w:rFonts w:hint="default"/>
          <w:b w:val="0"/>
          <w:bCs w:val="0"/>
          <w:sz w:val="21"/>
          <w:szCs w:val="21"/>
          <w:lang w:val="en-US" w:eastAsia="zh-CN"/>
        </w:rPr>
        <w:t>010</w:t>
      </w:r>
      <w:r>
        <w:rPr>
          <w:rFonts w:hint="eastAsia"/>
          <w:b w:val="0"/>
          <w:bCs w:val="0"/>
          <w:sz w:val="21"/>
          <w:szCs w:val="21"/>
          <w:lang w:val="en-US" w:eastAsia="zh-CN"/>
        </w:rPr>
        <w:t>-</w:t>
      </w:r>
      <w:r>
        <w:rPr>
          <w:rFonts w:hint="default"/>
          <w:b w:val="0"/>
          <w:bCs w:val="0"/>
          <w:sz w:val="21"/>
          <w:szCs w:val="21"/>
          <w:lang w:val="en-US" w:eastAsia="zh-CN"/>
        </w:rPr>
        <w:t>68205301</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附件：</w:t>
      </w:r>
      <w:r>
        <w:rPr>
          <w:rFonts w:hint="default"/>
          <w:b w:val="0"/>
          <w:bCs w:val="0"/>
          <w:sz w:val="21"/>
          <w:szCs w:val="21"/>
          <w:lang w:val="en-US" w:eastAsia="zh-CN"/>
        </w:rPr>
        <w:t>1</w:t>
      </w:r>
      <w:r>
        <w:rPr>
          <w:rFonts w:hint="eastAsia"/>
          <w:b w:val="0"/>
          <w:bCs w:val="0"/>
          <w:sz w:val="21"/>
          <w:szCs w:val="21"/>
          <w:lang w:val="en-US" w:eastAsia="zh-CN"/>
        </w:rPr>
        <w:t>.</w:t>
      </w:r>
      <w:r>
        <w:rPr>
          <w:rFonts w:hint="eastAsia"/>
          <w:b w:val="0"/>
          <w:bCs w:val="0"/>
          <w:sz w:val="21"/>
          <w:szCs w:val="21"/>
          <w:lang w:val="en-US" w:eastAsia="zh-CN"/>
        </w:rPr>
        <w:fldChar w:fldCharType="begin"/>
      </w:r>
      <w:r>
        <w:rPr>
          <w:rFonts w:hint="eastAsia"/>
          <w:b w:val="0"/>
          <w:bCs w:val="0"/>
          <w:sz w:val="21"/>
          <w:szCs w:val="21"/>
          <w:lang w:val="en-US" w:eastAsia="zh-CN"/>
        </w:rPr>
        <w:instrText xml:space="preserve"> HYPERLINK "http://www.miit.gov.cn/n1146285/n1146352/n3054355/n3057527/n3057529/c6988096/part/6988111.doc" </w:instrText>
      </w:r>
      <w:r>
        <w:rPr>
          <w:rFonts w:hint="eastAsia"/>
          <w:b w:val="0"/>
          <w:bCs w:val="0"/>
          <w:sz w:val="21"/>
          <w:szCs w:val="21"/>
          <w:lang w:val="en-US" w:eastAsia="zh-CN"/>
        </w:rPr>
        <w:fldChar w:fldCharType="separate"/>
      </w:r>
      <w:r>
        <w:rPr>
          <w:rFonts w:hint="eastAsia"/>
          <w:b w:val="0"/>
          <w:bCs w:val="0"/>
          <w:sz w:val="21"/>
          <w:szCs w:val="21"/>
          <w:lang w:val="en-US" w:eastAsia="zh-CN"/>
        </w:rPr>
        <w:t>有关行业协会名单</w:t>
      </w:r>
      <w:r>
        <w:rPr>
          <w:rFonts w:hint="eastAsia"/>
          <w:b w:val="0"/>
          <w:bCs w:val="0"/>
          <w:sz w:val="21"/>
          <w:szCs w:val="21"/>
          <w:lang w:val="en-US" w:eastAsia="zh-CN"/>
        </w:rPr>
        <w:fldChar w:fldCharType="end"/>
      </w:r>
      <w:r>
        <w:rPr>
          <w:rFonts w:hint="eastAsia"/>
          <w:b w:val="0"/>
          <w:bCs w:val="0"/>
          <w:sz w:val="21"/>
          <w:szCs w:val="21"/>
          <w:lang w:val="en-US" w:eastAsia="zh-CN"/>
        </w:rPr>
        <w:br w:type="textWrapping"/>
      </w:r>
      <w:r>
        <w:rPr>
          <w:rFonts w:hint="eastAsia"/>
          <w:b w:val="0"/>
          <w:bCs w:val="0"/>
          <w:sz w:val="21"/>
          <w:szCs w:val="21"/>
          <w:lang w:val="en-US" w:eastAsia="zh-CN"/>
        </w:rPr>
        <w:t>     </w:t>
      </w:r>
      <w:r>
        <w:rPr>
          <w:rFonts w:hint="default"/>
          <w:b w:val="0"/>
          <w:bCs w:val="0"/>
          <w:sz w:val="21"/>
          <w:szCs w:val="21"/>
          <w:lang w:val="en-US" w:eastAsia="zh-CN"/>
        </w:rPr>
        <w:t>2</w:t>
      </w:r>
      <w:r>
        <w:rPr>
          <w:rFonts w:hint="eastAsia"/>
          <w:b w:val="0"/>
          <w:bCs w:val="0"/>
          <w:sz w:val="21"/>
          <w:szCs w:val="21"/>
          <w:lang w:val="en-US" w:eastAsia="zh-CN"/>
        </w:rPr>
        <w:t>.</w:t>
      </w:r>
      <w:r>
        <w:rPr>
          <w:rFonts w:hint="default"/>
          <w:b w:val="0"/>
          <w:bCs w:val="0"/>
          <w:sz w:val="21"/>
          <w:szCs w:val="21"/>
          <w:lang w:val="en-US" w:eastAsia="zh-CN"/>
        </w:rPr>
        <w:t> </w:t>
      </w:r>
      <w:r>
        <w:rPr>
          <w:rFonts w:hint="default"/>
          <w:b w:val="0"/>
          <w:bCs w:val="0"/>
          <w:sz w:val="21"/>
          <w:szCs w:val="21"/>
          <w:lang w:val="en-US" w:eastAsia="zh-CN"/>
        </w:rPr>
        <w:fldChar w:fldCharType="begin"/>
      </w:r>
      <w:r>
        <w:rPr>
          <w:rFonts w:hint="default"/>
          <w:b w:val="0"/>
          <w:bCs w:val="0"/>
          <w:sz w:val="21"/>
          <w:szCs w:val="21"/>
          <w:lang w:val="en-US" w:eastAsia="zh-CN"/>
        </w:rPr>
        <w:instrText xml:space="preserve"> HYPERLINK "http://www.miit.gov.cn/n1146285/n1146352/n3054355/n3057527/n3057529/c6988096/part/6988367.xls" </w:instrText>
      </w:r>
      <w:r>
        <w:rPr>
          <w:rFonts w:hint="default"/>
          <w:b w:val="0"/>
          <w:bCs w:val="0"/>
          <w:sz w:val="21"/>
          <w:szCs w:val="21"/>
          <w:lang w:val="en-US" w:eastAsia="zh-CN"/>
        </w:rPr>
        <w:fldChar w:fldCharType="separate"/>
      </w:r>
      <w:r>
        <w:rPr>
          <w:rFonts w:hint="default"/>
          <w:b w:val="0"/>
          <w:bCs w:val="0"/>
          <w:sz w:val="21"/>
          <w:szCs w:val="21"/>
          <w:lang w:val="en-US" w:eastAsia="zh-CN"/>
        </w:rPr>
        <w:t>推荐2019年度国家中小企业公共服务示范平台汇总表</w:t>
      </w:r>
      <w:r>
        <w:rPr>
          <w:rFonts w:hint="default"/>
          <w:b w:val="0"/>
          <w:bCs w:val="0"/>
          <w:sz w:val="21"/>
          <w:szCs w:val="21"/>
          <w:lang w:val="en-US" w:eastAsia="zh-CN"/>
        </w:rPr>
        <w:fldChar w:fldCharType="end"/>
      </w:r>
    </w:p>
    <w:p>
      <w:pPr>
        <w:pStyle w:val="20"/>
        <w:spacing w:before="0" w:beforeAutospacing="0" w:after="0" w:afterAutospacing="0" w:line="360" w:lineRule="auto"/>
        <w:ind w:left="0" w:leftChars="0" w:firstLine="420" w:firstLineChars="200"/>
        <w:jc w:val="right"/>
        <w:rPr>
          <w:rFonts w:hint="eastAsia"/>
          <w:b w:val="0"/>
          <w:bCs w:val="0"/>
          <w:sz w:val="21"/>
          <w:szCs w:val="21"/>
          <w:lang w:val="en-US" w:eastAsia="zh-CN"/>
        </w:rPr>
      </w:pPr>
    </w:p>
    <w:p>
      <w:pPr>
        <w:pStyle w:val="20"/>
        <w:spacing w:before="0" w:beforeAutospacing="0" w:after="0" w:afterAutospacing="0" w:line="360" w:lineRule="auto"/>
        <w:ind w:left="0" w:leftChars="0" w:firstLine="420" w:firstLineChars="200"/>
        <w:jc w:val="right"/>
        <w:rPr>
          <w:rFonts w:hint="eastAsia"/>
          <w:b w:val="0"/>
          <w:bCs w:val="0"/>
          <w:sz w:val="21"/>
          <w:szCs w:val="21"/>
          <w:lang w:val="en-US" w:eastAsia="zh-CN"/>
        </w:rPr>
      </w:pPr>
      <w:r>
        <w:rPr>
          <w:rFonts w:hint="eastAsia"/>
          <w:b w:val="0"/>
          <w:bCs w:val="0"/>
          <w:sz w:val="21"/>
          <w:szCs w:val="21"/>
          <w:lang w:val="en-US" w:eastAsia="zh-CN"/>
        </w:rPr>
        <w:t>工业和信息化部中小企业局  </w:t>
      </w:r>
    </w:p>
    <w:p>
      <w:pPr>
        <w:pStyle w:val="20"/>
        <w:spacing w:before="0" w:beforeAutospacing="0" w:after="0" w:afterAutospacing="0" w:line="360" w:lineRule="auto"/>
        <w:ind w:left="0" w:leftChars="0" w:firstLine="420" w:firstLineChars="200"/>
        <w:jc w:val="right"/>
        <w:rPr>
          <w:rFonts w:hint="eastAsia"/>
          <w:b w:val="0"/>
          <w:bCs w:val="0"/>
          <w:sz w:val="21"/>
          <w:szCs w:val="21"/>
          <w:lang w:val="en-US" w:eastAsia="zh-CN"/>
        </w:rPr>
      </w:pPr>
      <w:r>
        <w:rPr>
          <w:rFonts w:hint="eastAsia"/>
          <w:b w:val="0"/>
          <w:bCs w:val="0"/>
          <w:sz w:val="21"/>
          <w:szCs w:val="21"/>
          <w:lang w:val="en-US" w:eastAsia="zh-CN"/>
        </w:rPr>
        <w:t>                       </w:t>
      </w:r>
      <w:r>
        <w:rPr>
          <w:rFonts w:hint="default"/>
          <w:b w:val="0"/>
          <w:bCs w:val="0"/>
          <w:sz w:val="21"/>
          <w:szCs w:val="21"/>
          <w:lang w:val="en-US" w:eastAsia="zh-CN"/>
        </w:rPr>
        <w:t>2019</w:t>
      </w:r>
      <w:r>
        <w:rPr>
          <w:rFonts w:hint="eastAsia"/>
          <w:b w:val="0"/>
          <w:bCs w:val="0"/>
          <w:sz w:val="21"/>
          <w:szCs w:val="21"/>
          <w:lang w:val="en-US" w:eastAsia="zh-CN"/>
        </w:rPr>
        <w:t>年</w:t>
      </w:r>
      <w:r>
        <w:rPr>
          <w:rFonts w:hint="default"/>
          <w:b w:val="0"/>
          <w:bCs w:val="0"/>
          <w:sz w:val="21"/>
          <w:szCs w:val="21"/>
          <w:lang w:val="en-US" w:eastAsia="zh-CN"/>
        </w:rPr>
        <w:t>6</w:t>
      </w:r>
      <w:r>
        <w:rPr>
          <w:rFonts w:hint="eastAsia"/>
          <w:b w:val="0"/>
          <w:bCs w:val="0"/>
          <w:sz w:val="21"/>
          <w:szCs w:val="21"/>
          <w:lang w:val="en-US" w:eastAsia="zh-CN"/>
        </w:rPr>
        <w:t>月</w:t>
      </w:r>
      <w:r>
        <w:rPr>
          <w:rFonts w:hint="default"/>
          <w:b w:val="0"/>
          <w:bCs w:val="0"/>
          <w:sz w:val="21"/>
          <w:szCs w:val="21"/>
          <w:lang w:val="en-US" w:eastAsia="zh-CN"/>
        </w:rPr>
        <w:t>3</w:t>
      </w:r>
      <w:r>
        <w:rPr>
          <w:rFonts w:hint="eastAsia"/>
          <w:b w:val="0"/>
          <w:bCs w:val="0"/>
          <w:sz w:val="21"/>
          <w:szCs w:val="21"/>
          <w:lang w:val="en-US" w:eastAsia="zh-CN"/>
        </w:rPr>
        <w:t>日  </w:t>
      </w:r>
    </w:p>
    <w:p>
      <w:pPr>
        <w:pStyle w:val="20"/>
        <w:spacing w:before="0" w:beforeAutospacing="0" w:after="0" w:afterAutospacing="0" w:line="360" w:lineRule="auto"/>
        <w:ind w:left="0" w:leftChars="0" w:firstLine="420" w:firstLineChars="200"/>
        <w:jc w:val="both"/>
        <w:rPr>
          <w:rFonts w:hint="default"/>
          <w:b w:val="0"/>
          <w:bCs w:val="0"/>
          <w:sz w:val="21"/>
          <w:szCs w:val="21"/>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ascii="Cambria" w:hAnsi="Cambria" w:eastAsia="宋体" w:cs="Times New Roman"/>
          <w:b/>
          <w:bCs/>
          <w:i w:val="0"/>
          <w:caps w:val="0"/>
          <w:color w:val="333333"/>
          <w:spacing w:val="0"/>
          <w:kern w:val="2"/>
          <w:sz w:val="30"/>
          <w:szCs w:val="30"/>
          <w:lang w:val="en-US" w:eastAsia="zh-CN" w:bidi="ar-SA"/>
        </w:rPr>
      </w:pPr>
      <w:bookmarkStart w:id="152" w:name="_Toc22543"/>
      <w:r>
        <w:rPr>
          <w:rFonts w:ascii="Cambria" w:hAnsi="Cambria" w:eastAsia="宋体" w:cs="Times New Roman"/>
          <w:b/>
          <w:bCs/>
          <w:i w:val="0"/>
          <w:caps w:val="0"/>
          <w:color w:val="333333"/>
          <w:spacing w:val="0"/>
          <w:kern w:val="2"/>
          <w:sz w:val="30"/>
          <w:szCs w:val="30"/>
          <w:lang w:val="en-US" w:eastAsia="zh-CN" w:bidi="ar-SA"/>
        </w:rPr>
        <w:t>工业和信息化部关于公布第一批专精特新“小巨人”企业名单的通告</w:t>
      </w:r>
      <w:bookmarkEnd w:id="152"/>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i w:val="0"/>
          <w:caps w:val="0"/>
          <w:color w:val="333333"/>
          <w:spacing w:val="0"/>
          <w:sz w:val="24"/>
          <w:szCs w:val="24"/>
          <w:lang w:val="en-US" w:eastAsia="zh-CN"/>
        </w:rPr>
      </w:pPr>
      <w:bookmarkStart w:id="153" w:name="_Toc823"/>
      <w:r>
        <w:rPr>
          <w:rFonts w:hint="eastAsia"/>
          <w:i w:val="0"/>
          <w:caps w:val="0"/>
          <w:color w:val="333333"/>
          <w:spacing w:val="0"/>
          <w:sz w:val="24"/>
          <w:szCs w:val="24"/>
          <w:lang w:val="en-US" w:eastAsia="zh-CN"/>
        </w:rPr>
        <w:t>工信部企业函[2019]153号</w:t>
      </w:r>
      <w:bookmarkEnd w:id="153"/>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根据《工业和信息化部办公厅关于开展专精特新“小巨人”企业培育工作的通知》（工信厅企业函〔</w:t>
      </w:r>
      <w:r>
        <w:rPr>
          <w:rFonts w:hint="default"/>
          <w:b w:val="0"/>
          <w:bCs w:val="0"/>
          <w:sz w:val="21"/>
          <w:szCs w:val="21"/>
          <w:lang w:val="en-US" w:eastAsia="zh-CN"/>
        </w:rPr>
        <w:t>2018</w:t>
      </w:r>
      <w:r>
        <w:rPr>
          <w:rFonts w:hint="eastAsia"/>
          <w:b w:val="0"/>
          <w:bCs w:val="0"/>
          <w:sz w:val="21"/>
          <w:szCs w:val="21"/>
          <w:lang w:val="en-US" w:eastAsia="zh-CN"/>
        </w:rPr>
        <w:t>〕</w:t>
      </w:r>
      <w:r>
        <w:rPr>
          <w:rFonts w:hint="default"/>
          <w:b w:val="0"/>
          <w:bCs w:val="0"/>
          <w:sz w:val="21"/>
          <w:szCs w:val="21"/>
          <w:lang w:val="en-US" w:eastAsia="zh-CN"/>
        </w:rPr>
        <w:t>381</w:t>
      </w:r>
      <w:r>
        <w:rPr>
          <w:rFonts w:hint="eastAsia"/>
          <w:b w:val="0"/>
          <w:bCs w:val="0"/>
          <w:sz w:val="21"/>
          <w:szCs w:val="21"/>
          <w:lang w:val="en-US" w:eastAsia="zh-CN"/>
        </w:rPr>
        <w:t>号）要求，经地方推荐、专家评审及社会公示等程序，确定北京臻迪科技股份有限公司、瑞普（天津）生物药业有限公司、唐山贺祥机电股份有限公司等</w:t>
      </w:r>
      <w:r>
        <w:rPr>
          <w:rFonts w:hint="default"/>
          <w:b w:val="0"/>
          <w:bCs w:val="0"/>
          <w:sz w:val="21"/>
          <w:szCs w:val="21"/>
          <w:lang w:val="en-US" w:eastAsia="zh-CN"/>
        </w:rPr>
        <w:t>248</w:t>
      </w:r>
      <w:r>
        <w:rPr>
          <w:rFonts w:hint="eastAsia"/>
          <w:b w:val="0"/>
          <w:bCs w:val="0"/>
          <w:sz w:val="21"/>
          <w:szCs w:val="21"/>
          <w:lang w:val="en-US" w:eastAsia="zh-CN"/>
        </w:rPr>
        <w:t>家企业为第一批专精特新“小巨人”企业（名单见附件），现予公布。</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一、专精特新“小巨人”企业要继续专注于细分市场，聚焦主业，不断提升创新能力，增强核心竞争力，在改善经营管理、提升产品质量、实现创新发展方面发挥示范带动作用。</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二、各地中小企业主管部门要结合实际研究制定专精特新评价体系，建立动态企业库，做好省级“专精特新”中小企业的培育和认定工作，不断加大对专精特新“小巨人”企业和省级“专精特新”中小企业的培育和支持力度。要切实履行职责，对辖区内专精特新“小巨人”企业做好跟踪服务和监督指导。对虚假申报或存在违法违规行为的企业，一经查实，立即撤销专精特新“小巨人”企业称号。</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特此通告。</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附件：</w:t>
      </w:r>
      <w:r>
        <w:rPr>
          <w:rFonts w:hint="eastAsia"/>
          <w:b w:val="0"/>
          <w:bCs w:val="0"/>
          <w:sz w:val="21"/>
          <w:szCs w:val="21"/>
          <w:lang w:val="en-US" w:eastAsia="zh-CN"/>
        </w:rPr>
        <w:fldChar w:fldCharType="begin"/>
      </w:r>
      <w:r>
        <w:rPr>
          <w:rFonts w:hint="eastAsia"/>
          <w:b w:val="0"/>
          <w:bCs w:val="0"/>
          <w:sz w:val="21"/>
          <w:szCs w:val="21"/>
          <w:lang w:val="en-US" w:eastAsia="zh-CN"/>
        </w:rPr>
        <w:instrText xml:space="preserve"> HYPERLINK "http://www.miit.gov.cn/n1146285/n1146352/n3054355/n3057527/n3057529/c6999390/part/6999448.wps" </w:instrText>
      </w:r>
      <w:r>
        <w:rPr>
          <w:rFonts w:hint="eastAsia"/>
          <w:b w:val="0"/>
          <w:bCs w:val="0"/>
          <w:sz w:val="21"/>
          <w:szCs w:val="21"/>
          <w:lang w:val="en-US" w:eastAsia="zh-CN"/>
        </w:rPr>
        <w:fldChar w:fldCharType="separate"/>
      </w:r>
      <w:r>
        <w:rPr>
          <w:rFonts w:hint="eastAsia"/>
          <w:b w:val="0"/>
          <w:bCs w:val="0"/>
          <w:sz w:val="21"/>
          <w:szCs w:val="21"/>
          <w:lang w:val="en-US" w:eastAsia="zh-CN"/>
        </w:rPr>
        <w:t>第一批专精特新“小巨人”企业名单</w:t>
      </w:r>
      <w:r>
        <w:rPr>
          <w:rFonts w:hint="eastAsia"/>
          <w:b w:val="0"/>
          <w:bCs w:val="0"/>
          <w:sz w:val="21"/>
          <w:szCs w:val="21"/>
          <w:lang w:val="en-US" w:eastAsia="zh-CN"/>
        </w:rPr>
        <w:fldChar w:fldCharType="end"/>
      </w:r>
    </w:p>
    <w:p>
      <w:pPr>
        <w:pStyle w:val="20"/>
        <w:spacing w:before="0" w:beforeAutospacing="0" w:after="0" w:afterAutospacing="0" w:line="360" w:lineRule="auto"/>
        <w:ind w:left="0" w:leftChars="0" w:firstLine="420" w:firstLineChars="200"/>
        <w:jc w:val="right"/>
        <w:rPr>
          <w:rFonts w:hint="eastAsia"/>
          <w:b w:val="0"/>
          <w:bCs w:val="0"/>
          <w:sz w:val="21"/>
          <w:szCs w:val="21"/>
          <w:lang w:val="en-US" w:eastAsia="zh-CN"/>
        </w:rPr>
      </w:pPr>
      <w:r>
        <w:rPr>
          <w:rFonts w:hint="eastAsia"/>
          <w:b w:val="0"/>
          <w:bCs w:val="0"/>
          <w:sz w:val="21"/>
          <w:szCs w:val="21"/>
          <w:lang w:val="en-US" w:eastAsia="zh-CN"/>
        </w:rPr>
        <w:t>工业和信息化部　　　　</w:t>
      </w:r>
      <w:r>
        <w:rPr>
          <w:rFonts w:hint="eastAsia"/>
          <w:b w:val="0"/>
          <w:bCs w:val="0"/>
          <w:sz w:val="21"/>
          <w:szCs w:val="21"/>
          <w:lang w:val="en-US" w:eastAsia="zh-CN"/>
        </w:rPr>
        <w:br w:type="textWrapping"/>
      </w:r>
      <w:r>
        <w:rPr>
          <w:rFonts w:hint="eastAsia"/>
          <w:b w:val="0"/>
          <w:bCs w:val="0"/>
          <w:sz w:val="21"/>
          <w:szCs w:val="21"/>
          <w:lang w:val="en-US" w:eastAsia="zh-CN"/>
        </w:rPr>
        <w:t>2019年6月5日</w:t>
      </w:r>
    </w:p>
    <w:p>
      <w:pPr>
        <w:pStyle w:val="20"/>
        <w:spacing w:before="0" w:beforeAutospacing="0" w:after="0" w:afterAutospacing="0" w:line="360" w:lineRule="auto"/>
        <w:ind w:left="0" w:leftChars="0" w:firstLine="420" w:firstLineChars="200"/>
        <w:jc w:val="both"/>
        <w:rPr>
          <w:rFonts w:hint="default"/>
          <w:b w:val="0"/>
          <w:bCs w:val="0"/>
          <w:sz w:val="21"/>
          <w:szCs w:val="21"/>
          <w:lang w:val="en-US" w:eastAsia="zh-CN"/>
        </w:rPr>
      </w:pPr>
    </w:p>
    <w:p>
      <w:pPr>
        <w:pStyle w:val="20"/>
        <w:spacing w:before="0" w:beforeAutospacing="0" w:after="0" w:afterAutospacing="0" w:line="360" w:lineRule="auto"/>
        <w:ind w:left="0" w:leftChars="0" w:firstLine="420" w:firstLineChars="200"/>
        <w:jc w:val="both"/>
        <w:rPr>
          <w:rFonts w:hint="default"/>
          <w:b w:val="0"/>
          <w:bCs w:val="0"/>
          <w:sz w:val="21"/>
          <w:szCs w:val="21"/>
          <w:lang w:val="en-US" w:eastAsia="zh-CN"/>
        </w:rPr>
      </w:pPr>
    </w:p>
    <w:p>
      <w:pPr>
        <w:pStyle w:val="20"/>
        <w:spacing w:before="0" w:beforeAutospacing="0" w:after="0" w:afterAutospacing="0" w:line="360" w:lineRule="auto"/>
        <w:ind w:left="0" w:leftChars="0" w:firstLine="420" w:firstLineChars="200"/>
        <w:jc w:val="both"/>
        <w:rPr>
          <w:rFonts w:hint="default"/>
          <w:b w:val="0"/>
          <w:bCs w:val="0"/>
          <w:sz w:val="21"/>
          <w:szCs w:val="21"/>
          <w:lang w:val="en-US" w:eastAsia="zh-CN"/>
        </w:rPr>
      </w:pPr>
    </w:p>
    <w:p>
      <w:pPr>
        <w:pStyle w:val="20"/>
        <w:spacing w:before="0" w:beforeAutospacing="0" w:after="0" w:afterAutospacing="0" w:line="360" w:lineRule="auto"/>
        <w:ind w:left="0" w:leftChars="0" w:firstLine="420" w:firstLineChars="200"/>
        <w:jc w:val="both"/>
        <w:rPr>
          <w:rFonts w:hint="default"/>
          <w:b w:val="0"/>
          <w:bCs w:val="0"/>
          <w:sz w:val="21"/>
          <w:szCs w:val="21"/>
          <w:lang w:val="en-US" w:eastAsia="zh-CN"/>
        </w:rPr>
      </w:pPr>
    </w:p>
    <w:p>
      <w:pPr>
        <w:pStyle w:val="20"/>
        <w:spacing w:before="0" w:beforeAutospacing="0" w:after="0" w:afterAutospacing="0" w:line="360" w:lineRule="auto"/>
        <w:ind w:left="0" w:leftChars="0" w:firstLine="420" w:firstLineChars="200"/>
        <w:jc w:val="both"/>
        <w:rPr>
          <w:rFonts w:hint="default"/>
          <w:b w:val="0"/>
          <w:bCs w:val="0"/>
          <w:sz w:val="21"/>
          <w:szCs w:val="21"/>
          <w:lang w:val="en-US" w:eastAsia="zh-CN"/>
        </w:rPr>
      </w:pPr>
    </w:p>
    <w:p>
      <w:pPr>
        <w:keepNext w:val="0"/>
        <w:keepLines w:val="0"/>
        <w:widowControl/>
        <w:suppressLineNumbers w:val="0"/>
        <w:spacing w:line="432" w:lineRule="auto"/>
        <w:jc w:val="center"/>
        <w:outlineLvl w:val="1"/>
        <w:rPr>
          <w:rFonts w:hint="eastAsia" w:ascii="宋体" w:hAnsi="宋体" w:eastAsia="宋体" w:cs="宋体"/>
          <w:b/>
          <w:color w:val="auto"/>
          <w:sz w:val="30"/>
          <w:szCs w:val="30"/>
        </w:rPr>
      </w:pPr>
      <w:bookmarkStart w:id="154" w:name="_Toc19432"/>
      <w:r>
        <w:rPr>
          <w:rFonts w:hint="eastAsia" w:ascii="宋体" w:hAnsi="宋体" w:cs="宋体"/>
          <w:b/>
          <w:color w:val="auto"/>
          <w:kern w:val="0"/>
          <w:sz w:val="30"/>
          <w:szCs w:val="30"/>
          <w:lang w:val="en-US" w:eastAsia="zh-CN" w:bidi="ar"/>
        </w:rPr>
        <w:t>关</w:t>
      </w:r>
      <w:r>
        <w:rPr>
          <w:rFonts w:hint="eastAsia" w:ascii="宋体" w:hAnsi="宋体" w:eastAsia="宋体" w:cs="宋体"/>
          <w:b/>
          <w:color w:val="auto"/>
          <w:kern w:val="0"/>
          <w:sz w:val="30"/>
          <w:szCs w:val="30"/>
          <w:lang w:val="en-US" w:eastAsia="zh-CN" w:bidi="ar"/>
        </w:rPr>
        <w:t>于养老、托育、家政等社区家庭服务业税费优惠政策的公告</w:t>
      </w:r>
      <w:bookmarkEnd w:id="154"/>
      <w:r>
        <w:rPr>
          <w:rFonts w:hint="eastAsia" w:ascii="宋体" w:hAnsi="宋体" w:eastAsia="宋体" w:cs="宋体"/>
          <w:b/>
          <w:color w:val="auto"/>
          <w:kern w:val="0"/>
          <w:sz w:val="30"/>
          <w:szCs w:val="30"/>
          <w:lang w:val="en-US" w:eastAsia="zh-CN" w:bidi="ar"/>
        </w:rPr>
        <w:t xml:space="preserve"> </w:t>
      </w:r>
    </w:p>
    <w:p>
      <w:pPr>
        <w:pStyle w:val="20"/>
        <w:keepNext w:val="0"/>
        <w:keepLines w:val="0"/>
        <w:widowControl/>
        <w:suppressLineNumbers w:val="0"/>
        <w:spacing w:line="432" w:lineRule="auto"/>
        <w:jc w:val="center"/>
        <w:outlineLvl w:val="1"/>
        <w:rPr>
          <w:b w:val="0"/>
          <w:bCs w:val="0"/>
          <w:sz w:val="24"/>
          <w:szCs w:val="24"/>
        </w:rPr>
      </w:pPr>
      <w:bookmarkStart w:id="155" w:name="_Toc23238"/>
      <w:r>
        <w:rPr>
          <w:rStyle w:val="24"/>
          <w:rFonts w:hint="eastAsia" w:ascii="宋体" w:hAnsi="宋体" w:eastAsia="宋体" w:cs="宋体"/>
          <w:b w:val="0"/>
          <w:bCs w:val="0"/>
          <w:sz w:val="24"/>
          <w:szCs w:val="24"/>
        </w:rPr>
        <w:t>财政部 税务总局 发展改革委 民政部 商务部 卫生健康委公告2019年第76号</w:t>
      </w:r>
      <w:bookmarkEnd w:id="155"/>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sz w:val="21"/>
          <w:szCs w:val="21"/>
        </w:rPr>
      </w:pPr>
      <w:r>
        <w:rPr>
          <w:rFonts w:hint="eastAsia" w:ascii="宋体" w:hAnsi="宋体" w:eastAsia="宋体" w:cs="宋体"/>
          <w:sz w:val="21"/>
          <w:szCs w:val="21"/>
        </w:rPr>
        <w:t>　　为支持养老、托育、家政等社区家庭服务业发展，现就有关税费政策公告如下： </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一、为社区提供养老、托育、家政等服务的机构，按照以下规定享受税费优惠政策： </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（一）提供社区养老、托育、家政服务取得的收入，免征增值税。 </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sz w:val="21"/>
          <w:szCs w:val="21"/>
        </w:rPr>
      </w:pPr>
      <w:r>
        <w:rPr>
          <w:rFonts w:hint="eastAsia" w:ascii="宋体" w:hAnsi="宋体" w:eastAsia="宋体" w:cs="宋体"/>
          <w:sz w:val="21"/>
          <w:szCs w:val="21"/>
        </w:rPr>
        <w:t>　　（二）提供社区养老、托育、家政服务取得的收入，在计算应纳税所得额时，减按90%计入收入总额。 </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sz w:val="21"/>
          <w:szCs w:val="21"/>
        </w:rPr>
      </w:pPr>
      <w:r>
        <w:rPr>
          <w:rFonts w:hint="eastAsia" w:ascii="宋体" w:hAnsi="宋体" w:eastAsia="宋体" w:cs="宋体"/>
          <w:sz w:val="21"/>
          <w:szCs w:val="21"/>
        </w:rPr>
        <w:t>　　（三）承受房屋、土地用于提供社区养老、托育、家政服务的，免征契税。 </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sz w:val="21"/>
          <w:szCs w:val="21"/>
        </w:rPr>
      </w:pPr>
      <w:r>
        <w:rPr>
          <w:rFonts w:hint="eastAsia" w:ascii="宋体" w:hAnsi="宋体" w:eastAsia="宋体" w:cs="宋体"/>
          <w:sz w:val="21"/>
          <w:szCs w:val="21"/>
        </w:rPr>
        <w:t>　　（四）用于提供社区养老、托育、家政服务的房产、土地，免征不动产登记费、耕地开垦费、土地复垦费、土地闲置费；用于提供社区养老、托育、家政服务的建设项目，免征城市基础设施配套费；确因地质条件等原因无法修建防空地下室的，免征防空地下室易地建设费。 </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sz w:val="21"/>
          <w:szCs w:val="21"/>
        </w:rPr>
      </w:pPr>
      <w:r>
        <w:rPr>
          <w:rFonts w:hint="eastAsia" w:ascii="宋体" w:hAnsi="宋体" w:eastAsia="宋体" w:cs="宋体"/>
          <w:sz w:val="21"/>
          <w:szCs w:val="21"/>
        </w:rPr>
        <w:t>　　二、为社区提供养老、托育、家政等服务的机构自有或其通过承租、无偿使用等方式取得并用于提供社区养老、托育、家政服务的房产、土地，免征房产税、城镇土地使用税。 </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sz w:val="21"/>
          <w:szCs w:val="21"/>
        </w:rPr>
      </w:pPr>
      <w:r>
        <w:rPr>
          <w:rFonts w:hint="eastAsia" w:ascii="宋体" w:hAnsi="宋体" w:eastAsia="宋体" w:cs="宋体"/>
          <w:sz w:val="21"/>
          <w:szCs w:val="21"/>
        </w:rPr>
        <w:t>　　三、本公告所称社区是指聚居在一定地域范围内的人们所组成的社会生活共同体，包括城市社区和农村社区。 </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sz w:val="21"/>
          <w:szCs w:val="21"/>
        </w:rPr>
      </w:pPr>
      <w:r>
        <w:rPr>
          <w:rFonts w:hint="eastAsia" w:ascii="宋体" w:hAnsi="宋体" w:eastAsia="宋体" w:cs="宋体"/>
          <w:sz w:val="21"/>
          <w:szCs w:val="21"/>
        </w:rPr>
        <w:t>　　为社区提供养老服务的机构，是指在社区依托固定场所设施，采取全托、日托、上门等方式，为社区居民提供养老服务的企业、事业单位和社会组织。社区养老服务是指为老年人提供的生活照料、康复护理、助餐助行、紧急救援、精神慰藉等服务。 </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sz w:val="21"/>
          <w:szCs w:val="21"/>
        </w:rPr>
      </w:pPr>
      <w:r>
        <w:rPr>
          <w:rFonts w:hint="eastAsia" w:ascii="宋体" w:hAnsi="宋体" w:eastAsia="宋体" w:cs="宋体"/>
          <w:sz w:val="21"/>
          <w:szCs w:val="21"/>
        </w:rPr>
        <w:t>　　为社区提供托育服务的机构，是指在社区依托固定场所设施，采取全日托、半日托、计时托、临时托等方式，为社区居民提供托育服务的企业、事业单位和社会组织。社区托育服务是指为3周岁（含）以下婴幼儿提供的照料、看护、膳食、保育等服务。 </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sz w:val="21"/>
          <w:szCs w:val="21"/>
        </w:rPr>
      </w:pPr>
      <w:r>
        <w:rPr>
          <w:rFonts w:hint="eastAsia" w:ascii="宋体" w:hAnsi="宋体" w:eastAsia="宋体" w:cs="宋体"/>
          <w:sz w:val="21"/>
          <w:szCs w:val="21"/>
        </w:rPr>
        <w:t>　　为社区提供家政服务的机构，是指以家庭为服务对象，为社区居民提供家政服务的企业、事业单位和社会组织。社区家政服务是指进入家庭成员住所或医疗机构为孕产妇、婴幼儿、老人、病人、残疾人提供的照护服务，以及进入家庭成员住所提供的保洁、烹饪等服务。 </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sz w:val="21"/>
          <w:szCs w:val="21"/>
        </w:rPr>
      </w:pPr>
      <w:r>
        <w:rPr>
          <w:rFonts w:hint="eastAsia" w:ascii="宋体" w:hAnsi="宋体" w:eastAsia="宋体" w:cs="宋体"/>
          <w:sz w:val="21"/>
          <w:szCs w:val="21"/>
        </w:rPr>
        <w:t>　　四、符合下列条件的家政服务企业提供家政服务取得的收入，比照《营业税改征增值税试点过渡政策的规定》（财税〔2016〕36号附件）第一条第（三十一）项规定，免征增值税。 </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sz w:val="21"/>
          <w:szCs w:val="21"/>
        </w:rPr>
      </w:pPr>
      <w:r>
        <w:rPr>
          <w:rFonts w:hint="eastAsia" w:ascii="宋体" w:hAnsi="宋体" w:eastAsia="宋体" w:cs="宋体"/>
          <w:sz w:val="21"/>
          <w:szCs w:val="21"/>
        </w:rPr>
        <w:t>　　（一）与家政服务员、接受家政服务的客户就提供家政服务行为签订三方协议； </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sz w:val="21"/>
          <w:szCs w:val="21"/>
        </w:rPr>
      </w:pPr>
      <w:r>
        <w:rPr>
          <w:rFonts w:hint="eastAsia" w:ascii="宋体" w:hAnsi="宋体" w:eastAsia="宋体" w:cs="宋体"/>
          <w:sz w:val="21"/>
          <w:szCs w:val="21"/>
        </w:rPr>
        <w:t>　　（二）向家政服务员发放劳动报酬，并对家政服务员进行培训管理； </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sz w:val="21"/>
          <w:szCs w:val="21"/>
        </w:rPr>
      </w:pPr>
      <w:r>
        <w:rPr>
          <w:rFonts w:hint="eastAsia" w:ascii="宋体" w:hAnsi="宋体" w:eastAsia="宋体" w:cs="宋体"/>
          <w:sz w:val="21"/>
          <w:szCs w:val="21"/>
        </w:rPr>
        <w:t>　　（三）通过建立业务管理系统对家政服务员进行登记管理。 </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sz w:val="21"/>
          <w:szCs w:val="21"/>
        </w:rPr>
      </w:pPr>
      <w:r>
        <w:rPr>
          <w:rFonts w:hint="eastAsia" w:ascii="宋体" w:hAnsi="宋体" w:eastAsia="宋体" w:cs="宋体"/>
          <w:sz w:val="21"/>
          <w:szCs w:val="21"/>
        </w:rPr>
        <w:t>　　五、财政、税费征收机关可根据工作需要与民政、卫生健康、商务等部门建立信息共享和工作配合机制，民政、卫生健康、商务等部门应积极协同配合，保障优惠政策落实到位。 </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sz w:val="21"/>
          <w:szCs w:val="21"/>
        </w:rPr>
      </w:pPr>
      <w:r>
        <w:rPr>
          <w:rFonts w:hint="eastAsia" w:ascii="宋体" w:hAnsi="宋体" w:eastAsia="宋体" w:cs="宋体"/>
          <w:sz w:val="21"/>
          <w:szCs w:val="21"/>
        </w:rPr>
        <w:t>　　六、本公告自2019年6月1日起执行至2025年12月31日。</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                     财政部</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 xml:space="preserve"> 税务总局</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发展改革委</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民政部</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商务部</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卫生健康委</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right"/>
        <w:textAlignment w:val="auto"/>
        <w:rPr>
          <w:sz w:val="21"/>
          <w:szCs w:val="21"/>
        </w:rPr>
      </w:pPr>
      <w:r>
        <w:rPr>
          <w:rFonts w:hint="eastAsia" w:ascii="宋体" w:hAnsi="宋体" w:eastAsia="宋体" w:cs="宋体"/>
          <w:sz w:val="21"/>
          <w:szCs w:val="21"/>
        </w:rPr>
        <w:t>     2019年6月28日</w:t>
      </w:r>
    </w:p>
    <w:p>
      <w:pPr>
        <w:keepNext w:val="0"/>
        <w:keepLines w:val="0"/>
        <w:widowControl/>
        <w:suppressLineNumbers w:val="0"/>
        <w:spacing w:line="432" w:lineRule="auto"/>
        <w:jc w:val="left"/>
        <w:rPr>
          <w:rFonts w:hint="eastAsia" w:ascii="宋体" w:hAnsi="宋体" w:eastAsia="宋体" w:cs="宋体"/>
          <w:vanish/>
          <w:sz w:val="19"/>
          <w:szCs w:val="19"/>
        </w:rPr>
      </w:pPr>
      <w:r>
        <w:rPr>
          <w:rFonts w:hint="eastAsia" w:ascii="宋体" w:hAnsi="宋体" w:eastAsia="宋体" w:cs="宋体"/>
          <w:vanish/>
          <w:kern w:val="0"/>
          <w:sz w:val="19"/>
          <w:szCs w:val="19"/>
          <w:lang w:val="en-US" w:eastAsia="zh-CN" w:bidi="ar"/>
        </w:rPr>
        <w:t xml:space="preserve">  </w:t>
      </w:r>
    </w:p>
    <w:p>
      <w:pPr>
        <w:keepNext w:val="0"/>
        <w:keepLines w:val="0"/>
        <w:widowControl/>
        <w:suppressLineNumbers w:val="0"/>
        <w:tabs>
          <w:tab w:val="left" w:pos="807"/>
        </w:tabs>
        <w:spacing w:line="432" w:lineRule="auto"/>
        <w:jc w:val="left"/>
        <w:rPr>
          <w:rFonts w:hint="eastAsia" w:ascii="宋体" w:hAnsi="宋体" w:eastAsia="宋体" w:cs="宋体"/>
          <w:vanish/>
          <w:sz w:val="19"/>
          <w:szCs w:val="19"/>
        </w:rPr>
      </w:pPr>
      <w:r>
        <w:rPr>
          <w:rFonts w:hint="eastAsia" w:ascii="宋体" w:hAnsi="宋体" w:eastAsia="宋体" w:cs="宋体"/>
          <w:vanish/>
          <w:sz w:val="19"/>
          <w:szCs w:val="19"/>
        </w:rPr>
        <w:t>附件下载:</w:t>
      </w:r>
      <w:r>
        <w:rPr>
          <w:vanish/>
        </w:rPr>
        <w:tab/>
      </w:r>
      <w:r>
        <w:rPr>
          <w:rFonts w:hint="eastAsia" w:ascii="宋体" w:hAnsi="宋体" w:eastAsia="宋体" w:cs="宋体"/>
          <w:vanish/>
          <w:kern w:val="0"/>
          <w:sz w:val="19"/>
          <w:szCs w:val="19"/>
          <w:lang w:val="en-US" w:eastAsia="zh-CN" w:bidi="ar"/>
        </w:rPr>
        <w:t xml:space="preserve">  </w:t>
      </w:r>
    </w:p>
    <w:p>
      <w:pPr>
        <w:jc w:val="center"/>
        <w:rPr>
          <w:rFonts w:hint="eastAsia" w:ascii="宋体" w:hAnsi="宋体" w:eastAsia="宋体" w:cs="宋体"/>
          <w:sz w:val="14"/>
          <w:szCs w:val="14"/>
        </w:rPr>
      </w:pPr>
    </w:p>
    <w:p>
      <w:pPr>
        <w:spacing w:line="432" w:lineRule="auto"/>
        <w:jc w:val="center"/>
        <w:rPr>
          <w:rFonts w:hint="eastAsia" w:ascii="宋体" w:hAnsi="宋体" w:eastAsia="宋体" w:cs="宋体"/>
          <w:sz w:val="14"/>
          <w:szCs w:val="14"/>
        </w:rPr>
      </w:pPr>
    </w:p>
    <w:p>
      <w:pPr>
        <w:pStyle w:val="20"/>
        <w:spacing w:before="0" w:beforeAutospacing="0" w:after="0" w:afterAutospacing="0" w:line="360" w:lineRule="auto"/>
        <w:ind w:left="0" w:leftChars="0" w:firstLine="420" w:firstLineChars="200"/>
        <w:jc w:val="both"/>
        <w:rPr>
          <w:rFonts w:hint="default"/>
          <w:b w:val="0"/>
          <w:bCs w:val="0"/>
          <w:sz w:val="21"/>
          <w:szCs w:val="21"/>
          <w:lang w:val="en-US" w:eastAsia="zh-CN"/>
        </w:rPr>
      </w:pPr>
    </w:p>
    <w:p>
      <w:pPr>
        <w:keepNext w:val="0"/>
        <w:keepLines w:val="0"/>
        <w:widowControl/>
        <w:suppressLineNumbers w:val="0"/>
        <w:spacing w:line="432" w:lineRule="auto"/>
        <w:jc w:val="center"/>
        <w:outlineLvl w:val="1"/>
        <w:rPr>
          <w:rFonts w:hint="eastAsia" w:ascii="Cambria" w:hAnsi="Cambria" w:eastAsia="宋体" w:cs="Times New Roman"/>
          <w:b/>
          <w:bCs/>
          <w:i w:val="0"/>
          <w:caps w:val="0"/>
          <w:color w:val="333333"/>
          <w:spacing w:val="0"/>
          <w:kern w:val="2"/>
          <w:sz w:val="30"/>
          <w:szCs w:val="30"/>
          <w:lang w:val="en-US" w:eastAsia="zh-CN" w:bidi="ar-SA"/>
        </w:rPr>
      </w:pPr>
    </w:p>
    <w:p>
      <w:pPr>
        <w:keepNext w:val="0"/>
        <w:keepLines w:val="0"/>
        <w:widowControl/>
        <w:suppressLineNumbers w:val="0"/>
        <w:spacing w:line="432" w:lineRule="auto"/>
        <w:jc w:val="center"/>
        <w:outlineLvl w:val="1"/>
        <w:rPr>
          <w:rFonts w:hint="eastAsia" w:ascii="Cambria" w:hAnsi="Cambria" w:eastAsia="宋体" w:cs="Times New Roman"/>
          <w:b/>
          <w:bCs/>
          <w:i w:val="0"/>
          <w:caps w:val="0"/>
          <w:color w:val="333333"/>
          <w:spacing w:val="0"/>
          <w:kern w:val="2"/>
          <w:sz w:val="30"/>
          <w:szCs w:val="30"/>
          <w:lang w:val="en-US" w:eastAsia="zh-CN" w:bidi="ar-SA"/>
        </w:rPr>
      </w:pPr>
    </w:p>
    <w:p>
      <w:pPr>
        <w:keepNext w:val="0"/>
        <w:keepLines w:val="0"/>
        <w:widowControl/>
        <w:suppressLineNumbers w:val="0"/>
        <w:spacing w:line="432" w:lineRule="auto"/>
        <w:jc w:val="center"/>
        <w:outlineLvl w:val="1"/>
        <w:rPr>
          <w:rFonts w:hint="eastAsia" w:ascii="Cambria" w:hAnsi="Cambria" w:eastAsia="宋体" w:cs="Times New Roman"/>
          <w:b/>
          <w:bCs/>
          <w:i w:val="0"/>
          <w:caps w:val="0"/>
          <w:color w:val="333333"/>
          <w:spacing w:val="0"/>
          <w:kern w:val="2"/>
          <w:sz w:val="30"/>
          <w:szCs w:val="30"/>
          <w:lang w:val="en-US" w:eastAsia="zh-CN" w:bidi="ar-SA"/>
        </w:rPr>
      </w:pPr>
    </w:p>
    <w:p>
      <w:pPr>
        <w:keepNext w:val="0"/>
        <w:keepLines w:val="0"/>
        <w:widowControl/>
        <w:suppressLineNumbers w:val="0"/>
        <w:spacing w:line="432" w:lineRule="auto"/>
        <w:jc w:val="center"/>
        <w:outlineLvl w:val="1"/>
        <w:rPr>
          <w:rFonts w:hint="eastAsia" w:ascii="Cambria" w:hAnsi="Cambria" w:eastAsia="宋体" w:cs="Times New Roman"/>
          <w:b/>
          <w:bCs/>
          <w:i w:val="0"/>
          <w:caps w:val="0"/>
          <w:color w:val="333333"/>
          <w:spacing w:val="0"/>
          <w:kern w:val="2"/>
          <w:sz w:val="30"/>
          <w:szCs w:val="30"/>
          <w:lang w:val="en-US" w:eastAsia="zh-CN" w:bidi="ar-SA"/>
        </w:rPr>
      </w:pPr>
      <w:bookmarkStart w:id="156" w:name="_Toc23824"/>
      <w:r>
        <w:rPr>
          <w:rFonts w:hint="eastAsia" w:ascii="Cambria" w:hAnsi="Cambria" w:eastAsia="宋体" w:cs="Times New Roman"/>
          <w:b/>
          <w:bCs/>
          <w:i w:val="0"/>
          <w:caps w:val="0"/>
          <w:color w:val="333333"/>
          <w:spacing w:val="0"/>
          <w:kern w:val="2"/>
          <w:sz w:val="30"/>
          <w:szCs w:val="30"/>
          <w:lang w:val="en-US" w:eastAsia="zh-CN" w:bidi="ar-SA"/>
        </w:rPr>
        <w:t>关于个人取得有关收入适用个人所得税应税所得项目的公告</w:t>
      </w:r>
      <w:bookmarkEnd w:id="156"/>
      <w:r>
        <w:rPr>
          <w:rFonts w:hint="eastAsia" w:ascii="Cambria" w:hAnsi="Cambria" w:eastAsia="宋体" w:cs="Times New Roman"/>
          <w:b/>
          <w:bCs/>
          <w:i w:val="0"/>
          <w:caps w:val="0"/>
          <w:color w:val="333333"/>
          <w:spacing w:val="0"/>
          <w:kern w:val="2"/>
          <w:sz w:val="30"/>
          <w:szCs w:val="30"/>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i w:val="0"/>
          <w:caps w:val="0"/>
          <w:color w:val="333333"/>
          <w:spacing w:val="0"/>
          <w:sz w:val="24"/>
          <w:szCs w:val="24"/>
          <w:lang w:val="en-US" w:eastAsia="zh-CN"/>
        </w:rPr>
      </w:pPr>
      <w:bookmarkStart w:id="157" w:name="_Toc19574"/>
      <w:r>
        <w:rPr>
          <w:rFonts w:hint="eastAsia"/>
          <w:i w:val="0"/>
          <w:caps w:val="0"/>
          <w:color w:val="333333"/>
          <w:spacing w:val="0"/>
          <w:sz w:val="24"/>
          <w:szCs w:val="24"/>
          <w:lang w:val="en-US" w:eastAsia="zh-CN"/>
        </w:rPr>
        <w:t>财政部 税务总局公告2019年第74号</w:t>
      </w:r>
      <w:bookmarkEnd w:id="157"/>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为贯彻落实修改后的《中华人民共和国个人所得税法》，做好政策衔接工作，现将个人取得的有关收入适用个人所得税应税所得项目的事项公告如下：</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一、个人为单位或他人提供担保获得收入，按照“偶然所得”项目计算缴纳个人所得税。</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二、房屋产权所有人将房屋产权无偿赠与他人的，受赠人因无偿受赠房屋取得的受赠收入，按照“偶然所得”项目计算缴纳个人所得税。按照《财政部 国家税务总局关于个人无偿受赠房屋有关个人所得税问题的通知》（财税〔2009〕78号）第一条规定，符合以下情形的，对当事双方不征收个人所得税：</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（一）房屋产权所有人将房屋产权无偿赠与配偶、父母、子女、祖父母、外祖父母、孙子女、外孙子女、兄弟姐妹；</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（二）房屋产权所有人将房屋产权无偿赠与对其承担直接抚养或者赡养义务的抚养人或者赡养人；</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（三）房屋产权所有人死亡，依法取得房屋产权的法定继承人、遗嘱继承人或者受遗赠人。</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前款所称受赠收入的应纳税所得额按照《财政部 国家税务总局关于个人无偿受赠房屋有关个人所得税问题的通知》（财税〔2009〕78号）第四条规定计算。</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三、企业在业务宣传、广告等活动中，随机向本单位以外的个人赠送礼品（包括网络红包，下同），以及企业在年会、座谈会、庆典以及其他活动中向本单位以外的个人赠送礼品，个人取得的礼品收入，按照“偶然所得”项目计算缴纳个人所得税，但企业赠送的具有价格折扣或折让性质的消费券、代金券、抵用券、优惠券等礼品除外。</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前款所称礼品收入的应纳税所得额按照《财政部 国家税务总局关于企业促销展业赠送礼品有关个人所得税问题的通知》（财税〔2011〕50号）第三条规定计算。</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四、个人按照《财政部 税务总局 人力资源社会保障部 中国银行保险监督管理委员会 证监会关于开展个人税收递延型商业养老保险试点的通知》（财税〔2018〕22号）的规定，领取的税收递延型商业养老保险的养老金收入，其中25%部分予以免税，其余75%部分按照10%的比例税率计算缴纳个人所得税，税款计入“工资、薪金所得”项目，由保险机构代扣代缴后，在个人购买税延养老保险的机构所在地办理全员全额扣缴申报。</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五、本公告自2019年1月1日起执行。下列文件或文件条款同时废止：</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（一）《财政部 国家税务总局关于银行部门以超过国家利率支付给储户的揽储奖金征收个人所得税问题的批复》（财税字〔1995〕64号）；</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（二）《国家税务总局对中国科学院院士荣誉奖金征收个人所得税问题的复函》（国税函〔1995〕351号）；</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（三）《国家税务总局关于未分配的投资者收益和个人人寿保险收入征收个人所得税问题的批复》（国税函〔1998〕546号）第二条；</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（四）《国家税务总局关于个人所得税有关政策问题的通知》（国税发〔1999〕58号）第三条；</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（五）《国家税务总局关于股民从证券公司取得的回扣收入征收个人所得税问题的批复》（国税函〔1999〕627号）；</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（六）《财政部 国家税务总局关于个人所得税有关问题的批复》（财税〔2005〕94号）第二条；</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（七）《国家税务总局关于个人取得解除商品房买卖合同违约金征收个人所得税问题的批复》（国税函〔2006〕865号）；</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（八）《财政部 国家税务总局关于个人无偿受赠房屋有关个人所得税问题的通知》（财税〔2009〕78号）第三条；</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（九）《财政部 国家税务总局关于企业促销展业赠送礼品有关个人所得税问题的通知》（财税〔2011〕50号）第二条第1项、第2项；</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（十）《财政部 税务总局 人力资源社会保障部 中国银行保险监督管理委员会 证监会关于开展个人税收递延型商业养老保险试点的通知》（财税〔2018〕22号）第一条第（二）项第3点第二段；</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（十一）《国家税务总局关于开展个人税收递延型商业养老保险试点有关征管问题的公告》（国家税务总局公告2018年第21号）第二条。</w:t>
      </w:r>
    </w:p>
    <w:p>
      <w:pPr>
        <w:pStyle w:val="20"/>
        <w:spacing w:before="0" w:beforeAutospacing="0" w:after="0" w:afterAutospacing="0" w:line="360" w:lineRule="auto"/>
        <w:ind w:left="0" w:leftChars="0" w:firstLine="420" w:firstLineChars="200"/>
        <w:jc w:val="left"/>
        <w:rPr>
          <w:rFonts w:hint="eastAsia"/>
          <w:b w:val="0"/>
          <w:bCs w:val="0"/>
          <w:sz w:val="21"/>
          <w:szCs w:val="21"/>
          <w:lang w:val="en-US" w:eastAsia="zh-CN"/>
        </w:rPr>
      </w:pPr>
      <w:r>
        <w:rPr>
          <w:rFonts w:hint="eastAsia"/>
          <w:b w:val="0"/>
          <w:bCs w:val="0"/>
          <w:sz w:val="21"/>
          <w:szCs w:val="21"/>
          <w:lang w:val="en-US" w:eastAsia="zh-CN"/>
        </w:rPr>
        <w:t>　　特此公告。</w:t>
      </w:r>
    </w:p>
    <w:p>
      <w:pPr>
        <w:pStyle w:val="20"/>
        <w:spacing w:before="0" w:beforeAutospacing="0" w:after="0" w:afterAutospacing="0" w:line="360" w:lineRule="auto"/>
        <w:ind w:left="0" w:leftChars="0" w:firstLine="420" w:firstLineChars="200"/>
        <w:jc w:val="right"/>
        <w:rPr>
          <w:rFonts w:hint="eastAsia"/>
          <w:b w:val="0"/>
          <w:bCs w:val="0"/>
          <w:sz w:val="21"/>
          <w:szCs w:val="21"/>
          <w:lang w:val="en-US" w:eastAsia="zh-CN"/>
        </w:rPr>
      </w:pPr>
      <w:r>
        <w:rPr>
          <w:rFonts w:hint="eastAsia"/>
          <w:b w:val="0"/>
          <w:bCs w:val="0"/>
          <w:sz w:val="21"/>
          <w:szCs w:val="21"/>
          <w:lang w:val="en-US" w:eastAsia="zh-CN"/>
        </w:rPr>
        <w:t>　　财政部  税务总局</w:t>
      </w:r>
    </w:p>
    <w:p>
      <w:pPr>
        <w:pStyle w:val="20"/>
        <w:spacing w:before="0" w:beforeAutospacing="0" w:after="0" w:afterAutospacing="0" w:line="360" w:lineRule="auto"/>
        <w:ind w:left="0" w:leftChars="0" w:firstLine="420" w:firstLineChars="200"/>
        <w:jc w:val="right"/>
        <w:rPr>
          <w:rFonts w:hint="eastAsia"/>
          <w:b w:val="0"/>
          <w:bCs w:val="0"/>
          <w:sz w:val="21"/>
          <w:szCs w:val="21"/>
          <w:lang w:val="en-US" w:eastAsia="zh-CN"/>
        </w:rPr>
      </w:pPr>
      <w:r>
        <w:rPr>
          <w:rFonts w:hint="eastAsia"/>
          <w:b w:val="0"/>
          <w:bCs w:val="0"/>
          <w:sz w:val="21"/>
          <w:szCs w:val="21"/>
          <w:lang w:val="en-US" w:eastAsia="zh-CN"/>
        </w:rPr>
        <w:t>　　2019年6月13日</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 xml:space="preserve">  </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p>
    <w:p>
      <w:pPr>
        <w:spacing w:line="432" w:lineRule="auto"/>
        <w:jc w:val="center"/>
        <w:rPr>
          <w:rFonts w:hint="eastAsia" w:ascii="宋体" w:hAnsi="宋体" w:eastAsia="宋体" w:cs="宋体"/>
          <w:color w:val="000000"/>
          <w:sz w:val="14"/>
          <w:szCs w:val="14"/>
        </w:rPr>
      </w:pPr>
    </w:p>
    <w:p>
      <w:pPr>
        <w:keepNext w:val="0"/>
        <w:keepLines w:val="0"/>
        <w:widowControl/>
        <w:suppressLineNumbers w:val="0"/>
        <w:spacing w:line="432" w:lineRule="auto"/>
        <w:jc w:val="center"/>
        <w:outlineLvl w:val="1"/>
        <w:rPr>
          <w:rFonts w:hint="eastAsia" w:ascii="Cambria" w:hAnsi="Cambria" w:eastAsia="宋体" w:cs="Times New Roman"/>
          <w:b/>
          <w:bCs/>
          <w:i w:val="0"/>
          <w:caps w:val="0"/>
          <w:color w:val="333333"/>
          <w:spacing w:val="0"/>
          <w:kern w:val="2"/>
          <w:sz w:val="30"/>
          <w:szCs w:val="30"/>
          <w:lang w:val="en-US" w:eastAsia="zh-CN" w:bidi="ar-SA"/>
        </w:rPr>
      </w:pPr>
      <w:bookmarkStart w:id="158" w:name="_Toc21158"/>
      <w:r>
        <w:rPr>
          <w:rFonts w:hint="eastAsia" w:ascii="Cambria" w:hAnsi="Cambria" w:eastAsia="宋体" w:cs="Times New Roman"/>
          <w:b/>
          <w:bCs/>
          <w:i w:val="0"/>
          <w:caps w:val="0"/>
          <w:color w:val="333333"/>
          <w:spacing w:val="0"/>
          <w:kern w:val="2"/>
          <w:sz w:val="30"/>
          <w:szCs w:val="30"/>
          <w:lang w:val="en-US" w:eastAsia="zh-CN" w:bidi="ar-SA"/>
        </w:rPr>
        <w:t>关于《可再生能源发展专项资金管理暂行办法》的补充通知</w:t>
      </w:r>
      <w:bookmarkEnd w:id="158"/>
      <w:r>
        <w:rPr>
          <w:rFonts w:hint="eastAsia" w:ascii="Cambria" w:hAnsi="Cambria" w:eastAsia="宋体" w:cs="Times New Roman"/>
          <w:b/>
          <w:bCs/>
          <w:i w:val="0"/>
          <w:caps w:val="0"/>
          <w:color w:val="333333"/>
          <w:spacing w:val="0"/>
          <w:kern w:val="2"/>
          <w:sz w:val="30"/>
          <w:szCs w:val="30"/>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i w:val="0"/>
          <w:caps w:val="0"/>
          <w:color w:val="333333"/>
          <w:spacing w:val="0"/>
          <w:sz w:val="24"/>
          <w:szCs w:val="24"/>
          <w:lang w:val="en-US" w:eastAsia="zh-CN"/>
        </w:rPr>
      </w:pPr>
      <w:bookmarkStart w:id="159" w:name="_Toc23899"/>
      <w:r>
        <w:rPr>
          <w:rFonts w:hint="eastAsia"/>
          <w:i w:val="0"/>
          <w:caps w:val="0"/>
          <w:color w:val="333333"/>
          <w:spacing w:val="0"/>
          <w:sz w:val="24"/>
          <w:szCs w:val="24"/>
          <w:lang w:val="en-US" w:eastAsia="zh-CN"/>
        </w:rPr>
        <w:t>财建〔2019〕298号</w:t>
      </w:r>
      <w:bookmarkEnd w:id="159"/>
    </w:p>
    <w:p>
      <w:pPr>
        <w:pStyle w:val="20"/>
        <w:spacing w:before="0" w:beforeAutospacing="0" w:after="0" w:afterAutospacing="0" w:line="360" w:lineRule="auto"/>
        <w:jc w:val="both"/>
        <w:rPr>
          <w:rFonts w:hint="eastAsia"/>
          <w:b w:val="0"/>
          <w:bCs w:val="0"/>
          <w:sz w:val="21"/>
          <w:szCs w:val="21"/>
          <w:lang w:val="en-US" w:eastAsia="zh-CN"/>
        </w:rPr>
      </w:pPr>
    </w:p>
    <w:p>
      <w:pPr>
        <w:pStyle w:val="20"/>
        <w:spacing w:before="0" w:beforeAutospacing="0" w:after="0" w:afterAutospacing="0" w:line="360" w:lineRule="auto"/>
        <w:jc w:val="both"/>
        <w:rPr>
          <w:rFonts w:hint="eastAsia"/>
          <w:b w:val="0"/>
          <w:bCs w:val="0"/>
          <w:sz w:val="21"/>
          <w:szCs w:val="21"/>
          <w:lang w:val="en-US" w:eastAsia="zh-CN"/>
        </w:rPr>
      </w:pPr>
      <w:r>
        <w:rPr>
          <w:rFonts w:hint="eastAsia"/>
          <w:b w:val="0"/>
          <w:bCs w:val="0"/>
          <w:sz w:val="21"/>
          <w:szCs w:val="21"/>
          <w:lang w:val="en-US" w:eastAsia="zh-CN"/>
        </w:rPr>
        <w:t>各有关省（区、市）财政厅（局），新疆生产建设兵团财政局：</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按照《中央对地方专项转移支付管理办法》（财预〔2015〕230号）等文件要求，现对《可再生能源发展专项资金管理暂行办法》（财建〔2015〕87号）有关事项补充通知如下：</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一、可再生能源发展专项资金实施期限为2019至2023年。其中，“十三五”农村水电增效扩容改造中央财政补贴于2020年政策期满后结束。财政部根据国务院有关规定及可再生能源发展形势需要等进行评估，根据评估结果再作调整。</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二、可再生能源发展专项资金支持农村水电增效扩容改造。农村水电增效扩容改造采取据实结算方式，“十三五”期间按照改造后电站装机容量（含生态改造新增）进行奖励。具体奖励额度按以下方式明确：</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某地奖励额度=奖励标准×某地改造后电站装机容量（含生态改造新增）</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奖励标准为东部地区700元/千瓦、中部地区1000元/千瓦、西部地区1300元/千瓦。以河流为单元，中央财政奖励资金不得超过该单元农村水电增效扩容改造总投资的50%（生态改造费用纳入改造总投资）。</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三、可再生能源发展专项资金支持煤层气(煤矿瓦斯)、页岩气、致密气等非常规天然气开采利用。2018年，补贴标准为0.3元/立方米。自2019年起，不再按定额标准进行补贴。按照“多增多补”的原则，对超过上年开采利用量的，按照超额程度给予梯级奖补；相应，对未达到上年开采利用量的，按照未达标程度扣减奖补资金。同时，对取暖季生产的非常规天然气增量部分，给予超额系数折算，体现“冬增冬补”。</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（一）计入奖补范围的非常规天然气开采利用量按以下方式确定：</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非常规天然气开采利用量=页岩气开采利用量+煤层气开采利用量×1.2+致密气开采利用量与2017年相比的增量部分。</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（二）奖补资金分配系数按以下方式确定：</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1. 对超过上年产量以上部分，按照超额比例给予不同的分配系数：</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对超过上年产量0-5%（含）的，分配系数为1.25；</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对超过上年产量5-10%（含）的，分配系数为1.5；</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对超过上年产量10-20%（含）的，分配系数为1.75;</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对超过上年产量20%以上的，分配系数为2。</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2. 对未达到上年产量的，按照未达标比例扣减不同的分配系数：</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对未达标部分为上年产量0-5%（含）的，分配系数为1.25；</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对未达标部分为上年产量5-10%（含）的，分配系数为1.5；</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对未达标部分为上年产量10-20%（含）的，分配系数为1.75；</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对未达标部分为上年产量20%以上的，分配系数为2。</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3. 每年取暖季（每年1-2月，11-12月）生产的非常规天然气增量部分，分配系数为1.5。</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（三）奖补资金计算公式如下：</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某地（中央企业）当年奖补气量=上年开采利用量+（当年取暖季开采利用量-上年取暖季开采利用量）×1.5+（当年开采利用量-上年开采利用量）×对应的分配系数</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某地（中央企业）当年补助资金=当年非常规天然气奖补资金总额/全国当年奖补气量×某地（中央企业）当年奖补气量</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四）奖补资金采取先预拨、后清算的方式，由财政部按照国家能源局、财政部各地监管局、中央企业和地方提供的数据测算并将预算下达、资金拨付至地方和中央企业。地方和中央企业按照有利于非常规天然气开采的原则统筹分配奖补资金，并用于非常规天然气开采利用的相关工作。</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四、各级财政、水利、能源等部门及其工作人员在专项资金审核、分配工作中，存在违反规定分配资金、向不符合条件的单位（个人）分配资金、擅自超出规定的范围或者标准分配或使用专项资金等，以及其他滥用职权、玩忽职守、徇私舞弊等违法违纪行为的，按照《预算法》、《公务员法》、《行政监察法》、《财政违法行为处罚处分条例》等有关规定进行处理。</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五、本通知自印发之日起实行。</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附件：致密砂岩气认定标准</w:t>
      </w:r>
    </w:p>
    <w:p>
      <w:pPr>
        <w:pStyle w:val="20"/>
        <w:spacing w:before="0" w:beforeAutospacing="0" w:after="0" w:afterAutospacing="0" w:line="360" w:lineRule="auto"/>
        <w:ind w:left="0" w:leftChars="0" w:firstLine="420" w:firstLineChars="200"/>
        <w:jc w:val="right"/>
        <w:rPr>
          <w:rFonts w:hint="eastAsia"/>
          <w:b w:val="0"/>
          <w:bCs w:val="0"/>
          <w:sz w:val="21"/>
          <w:szCs w:val="21"/>
          <w:lang w:val="en-US" w:eastAsia="zh-CN"/>
        </w:rPr>
      </w:pPr>
      <w:r>
        <w:rPr>
          <w:rFonts w:hint="eastAsia"/>
          <w:b w:val="0"/>
          <w:bCs w:val="0"/>
          <w:sz w:val="21"/>
          <w:szCs w:val="21"/>
          <w:lang w:val="en-US" w:eastAsia="zh-CN"/>
        </w:rPr>
        <w:t>　　财政部</w:t>
      </w:r>
    </w:p>
    <w:p>
      <w:pPr>
        <w:pStyle w:val="20"/>
        <w:spacing w:before="0" w:beforeAutospacing="0" w:after="0" w:afterAutospacing="0" w:line="360" w:lineRule="auto"/>
        <w:ind w:left="0" w:leftChars="0" w:firstLine="420" w:firstLineChars="200"/>
        <w:jc w:val="right"/>
        <w:rPr>
          <w:rFonts w:hint="eastAsia"/>
          <w:b w:val="0"/>
          <w:bCs w:val="0"/>
          <w:sz w:val="21"/>
          <w:szCs w:val="21"/>
          <w:lang w:val="en-US" w:eastAsia="zh-CN"/>
        </w:rPr>
      </w:pPr>
      <w:r>
        <w:rPr>
          <w:rFonts w:hint="eastAsia"/>
          <w:b w:val="0"/>
          <w:bCs w:val="0"/>
          <w:sz w:val="21"/>
          <w:szCs w:val="21"/>
          <w:lang w:val="en-US" w:eastAsia="zh-CN"/>
        </w:rPr>
        <w:t>　　2019年6月11日</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b/>
          <w:bCs/>
          <w:i w:val="0"/>
          <w:caps w:val="0"/>
          <w:color w:val="333333"/>
          <w:spacing w:val="0"/>
          <w:sz w:val="30"/>
          <w:szCs w:val="30"/>
          <w:lang w:val="en-US" w:eastAsia="zh-CN"/>
        </w:rPr>
      </w:pPr>
      <w:bookmarkStart w:id="160" w:name="_Toc22047"/>
      <w:r>
        <w:rPr>
          <w:rFonts w:hint="eastAsia"/>
          <w:b/>
          <w:bCs/>
          <w:i w:val="0"/>
          <w:caps w:val="0"/>
          <w:color w:val="333333"/>
          <w:spacing w:val="0"/>
          <w:sz w:val="30"/>
          <w:szCs w:val="30"/>
          <w:lang w:val="en-US" w:eastAsia="zh-CN"/>
        </w:rPr>
        <w:t>国家发展改革委关于依法依规加强PPP项目</w:t>
      </w:r>
      <w:bookmarkEnd w:id="16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b/>
          <w:bCs/>
          <w:i w:val="0"/>
          <w:caps w:val="0"/>
          <w:color w:val="333333"/>
          <w:spacing w:val="0"/>
          <w:sz w:val="30"/>
          <w:szCs w:val="30"/>
          <w:lang w:val="en-US" w:eastAsia="zh-CN"/>
        </w:rPr>
      </w:pPr>
      <w:bookmarkStart w:id="161" w:name="_Toc27559"/>
      <w:bookmarkStart w:id="162" w:name="_Toc29635"/>
      <w:bookmarkStart w:id="163" w:name="_Toc153"/>
      <w:bookmarkStart w:id="164" w:name="_Toc25691"/>
      <w:bookmarkStart w:id="165" w:name="_Toc30202"/>
      <w:bookmarkStart w:id="166" w:name="_Toc3867"/>
      <w:r>
        <w:rPr>
          <w:rFonts w:hint="eastAsia"/>
          <w:b/>
          <w:bCs/>
          <w:i w:val="0"/>
          <w:caps w:val="0"/>
          <w:color w:val="333333"/>
          <w:spacing w:val="0"/>
          <w:sz w:val="30"/>
          <w:szCs w:val="30"/>
          <w:lang w:val="en-US" w:eastAsia="zh-CN"/>
        </w:rPr>
        <w:t>投资和建设管理的通知</w:t>
      </w:r>
      <w:bookmarkEnd w:id="161"/>
      <w:bookmarkEnd w:id="162"/>
      <w:bookmarkEnd w:id="163"/>
      <w:bookmarkEnd w:id="164"/>
      <w:bookmarkEnd w:id="165"/>
      <w:bookmarkEnd w:id="166"/>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i w:val="0"/>
          <w:caps w:val="0"/>
          <w:color w:val="333333"/>
          <w:spacing w:val="0"/>
          <w:sz w:val="24"/>
          <w:szCs w:val="24"/>
          <w:lang w:val="en-US" w:eastAsia="zh-CN"/>
        </w:rPr>
      </w:pPr>
      <w:bookmarkStart w:id="167" w:name="_Toc28798"/>
      <w:r>
        <w:rPr>
          <w:rFonts w:hint="eastAsia"/>
          <w:i w:val="0"/>
          <w:caps w:val="0"/>
          <w:color w:val="333333"/>
          <w:spacing w:val="0"/>
          <w:sz w:val="24"/>
          <w:szCs w:val="24"/>
          <w:lang w:val="en-US" w:eastAsia="zh-CN"/>
        </w:rPr>
        <w:t>发改投资规〔2019〕1098号</w:t>
      </w:r>
      <w:bookmarkEnd w:id="167"/>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p>
    <w:p>
      <w:pPr>
        <w:pStyle w:val="20"/>
        <w:spacing w:before="0" w:beforeAutospacing="0" w:after="0" w:afterAutospacing="0" w:line="360" w:lineRule="auto"/>
        <w:ind w:left="0" w:leftChars="0" w:firstLine="0" w:firstLineChars="0"/>
        <w:jc w:val="both"/>
        <w:rPr>
          <w:rFonts w:hint="eastAsia"/>
          <w:b w:val="0"/>
          <w:bCs w:val="0"/>
          <w:sz w:val="21"/>
          <w:szCs w:val="21"/>
          <w:lang w:val="en-US" w:eastAsia="zh-CN"/>
        </w:rPr>
      </w:pPr>
      <w:r>
        <w:rPr>
          <w:rFonts w:hint="eastAsia"/>
          <w:b w:val="0"/>
          <w:bCs w:val="0"/>
          <w:sz w:val="21"/>
          <w:szCs w:val="21"/>
          <w:lang w:val="en-US" w:eastAsia="zh-CN"/>
        </w:rPr>
        <w:t>各省、自治区、直辖市及计划单列市发展改革委，新疆生产建设兵团发展改革委：</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为了贯彻落实党中央、国务院关于基础设施补短板、防范化解地方政府隐性债务风险的决策部署，加强PPP项目投资和建设管理、提高PPP项目投资决策科学性，按照近日国务院颁布实施的《政府投资条例》（国务院令第712号），以及《企业投资项目核准和备案管理条例》（国务院令第673号）、《国务院办公厅关于保持基础设施领域补短板力度的指导意见》（国办发〔2018〕101号）等规定，现就有关事项通知如下。</w:t>
      </w:r>
    </w:p>
    <w:p>
      <w:pPr>
        <w:pStyle w:val="20"/>
        <w:spacing w:before="0" w:beforeAutospacing="0" w:after="0" w:afterAutospacing="0" w:line="360" w:lineRule="auto"/>
        <w:ind w:left="0" w:leftChars="0" w:firstLine="420" w:firstLineChars="200"/>
        <w:jc w:val="both"/>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一、全面、深入开展PPP项目可行性论证和审查</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一）PPP项目涉及公共资源配置和公众利益保障，其建设的必要性、可行性等重大事项应由政府研究认可。按照国务院关于“加强PPP项目可行性论证，合理确定项目主要内容和投资规模”的要求，所有拟采用PPP模式的项目，均要开展可行性论证。通过可行性论证审查的项目，方可采用PPP模式建设实施。</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二）PPP项目可行性论证既要从经济社会发展需要、规划要求、技术和经济可行性、环境影响、投融资方案、资源综合利用以及是否有利于提升人民生活质量等方面，对项目可行性进行充分分析和论证，也要从政府投资必要性、政府投资方式比选、项目全生命周期成本、运营效率、风险管理以及是否有利于吸引社会资本参与等方面，对项目是否适宜采用PPP模式进行分析和论证。</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三）实行审批制管理的PPP项目，在可行性研究报告审批通过后，方可开展PPP实施方案审查、社会资本遴选等后续工作。实行核准制的PPP项目，应在核准的同时或单独开展可行性论证和审查。实行备案制的PPP项目，应单独开展可行性论证和审查。</w:t>
      </w:r>
    </w:p>
    <w:p>
      <w:pPr>
        <w:pStyle w:val="20"/>
        <w:spacing w:before="0" w:beforeAutospacing="0" w:after="0" w:afterAutospacing="0" w:line="360" w:lineRule="auto"/>
        <w:ind w:left="0" w:leftChars="0" w:firstLine="420" w:firstLineChars="200"/>
        <w:jc w:val="both"/>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二、严格依法依规履行项目决策程序</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四）PPP项目要严格执行《政府投资条例》、《企业投资项目核准和备案管理条例》，依法依规履行审批、核准、备案程序。采取政府资本金注入方式的PPP项目，按照《政府投资条例》规定，实行审批制。列入《政府核准的投资项目目录》的企业投资项目，按照《企业投资项目核准和备案管理条例》规定，实行核准制。对于实行备案制的企业投资项目，拟采用PPP模式的，要严格论证项目可行性和PPP模式必要性。</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（五）未依法依规履行审批、核准、备案及可行性论证和审查程序的PPP项目，为不规范项目，不得开工建设。不得以实施方案审查等任何形式规避或替代项目审批、核准、备案，以及可行性论证和审查程序。</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六）实施方案、招投标文件、合同的主要内容应与经批准的可行性研究报告、核准文件、备案信息保持一致。实施方案、招投标文件、合同或建设中出现以下情形的，应当报请原审批、核准、备案机关重新履行项目审核备程序：（1）项目建设地点发生变化；（2）项目建设规模和主要建设内容发生较大变化；（3）项目建设标准发生较大变化；（4）项目投资规模超过批复投资的10%。</w:t>
      </w:r>
    </w:p>
    <w:p>
      <w:pPr>
        <w:pStyle w:val="20"/>
        <w:spacing w:before="0" w:beforeAutospacing="0" w:after="0" w:afterAutospacing="0" w:line="360" w:lineRule="auto"/>
        <w:ind w:left="0" w:leftChars="0" w:firstLine="420" w:firstLineChars="200"/>
        <w:jc w:val="both"/>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三、严格实施方案审核，依法依规遴选社会资本</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七）加强对PPP项目实施方案的审核，通过实施方案审核的PPP项目，方可开展社会资本遴选。鼓励各地建立PPP项目实施方案联审机制，各级发展改革部门要严格审查实施方案主要内容是否与经批复的可行性研究报告、项目核准文件、备案信息相一致。对建设内容单一、投资规模较小、技术方案简单的PPP项目，可将实施方案纳入可行性研究报告一并审核。</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（八）公开招标应作为遴选社会资本的主要方式。不得排斥、限制民间资本参与PPP项目，消除隐性壁垒，确保一视同仁、公平竞争。招标文件的主要内容应与经批准的PPP项目实施方案保持一致。</w:t>
      </w:r>
    </w:p>
    <w:p>
      <w:pPr>
        <w:pStyle w:val="20"/>
        <w:spacing w:before="0" w:beforeAutospacing="0" w:after="0" w:afterAutospacing="0" w:line="360" w:lineRule="auto"/>
        <w:ind w:left="0" w:leftChars="0" w:firstLine="420" w:firstLineChars="200"/>
        <w:jc w:val="both"/>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四、严格执行国务院关于固定资产投资项目资本金制度的各项规定</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九）按照国务院有关规定，“投资项目资本金对投资项目来说是非债务性资金，项目法人不承担这部分资金的任何利息和债务；投资者可按其出资的比例依法享有所有者权益，也可转让其出资，但不得以任何方式抽回”。各行业固定资产投资项目资本金必须满足国务院规定的最低比例要求，防止过度举债融资等问题。</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（十）PPP项目的融资方式和资金来源应符合防范化解地方政府隐性债务风险的相关规定。不得通过约定回购投资本金、承诺保底收益等方式违法违规变相增加地方政府隐性债务，严防地方政府债务风险。</w:t>
      </w:r>
    </w:p>
    <w:p>
      <w:pPr>
        <w:pStyle w:val="20"/>
        <w:spacing w:before="0" w:beforeAutospacing="0" w:after="0" w:afterAutospacing="0" w:line="360" w:lineRule="auto"/>
        <w:ind w:left="0" w:leftChars="0" w:firstLine="420" w:firstLineChars="200"/>
        <w:jc w:val="both"/>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五、依法依规将所有PPP项目纳入全国投资项目在线审批监管平台统一管理</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十一）严格执行《政府投资条例》、《企业投资项目核准和备案管理条例》，除涉密项目外，所有PPP项目须使用全国投资项目在线审批监管平台（以下简称“在线平台”）生成的项目代码分别办理各项审批手续。不得以其他任何形式规避、替代PPP项目纳入在线平台统一管理。</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十二）依托在线平台建立全国PPP项目信息监测服务平台，加强PPP项目管理和信息监测。对于通过项目审批、核准或备案，以及可行性论证、实施方案审查的PPP项目，要通过平台公开项目信息，实现全国PPP项目信息定期发布、动态监测、实时查询等功能，便于社会资本、金融机构等有关方面更好参与PPP项目。</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十三）全国PPP项目信息监测服务平台信息审核实行属地管理，原则上由项目实施主体所在地同级发展改革部门审核项目单位填报的项目信息。各级发展改革部门要采取在线监测、现场核查等方式，加强对PPP项目实施情况的监督检查。未录入全国PPP项目信息监测服务平台的项目为不规范项目。</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十四）落实《政府信息公开条例》（国务院令第492号）、《国务院办公厅关于推进重大建设项目批准和实施领域政府信息公开的意见》（国办发〔2017〕94号）等要求，依托在线平台，重点公开PPP项目的批准服务信息、批准结果信息、招标投标信息，以及施工、竣工等有关信息。</w:t>
      </w:r>
    </w:p>
    <w:p>
      <w:pPr>
        <w:pStyle w:val="20"/>
        <w:spacing w:before="0" w:beforeAutospacing="0" w:after="0" w:afterAutospacing="0" w:line="360" w:lineRule="auto"/>
        <w:ind w:left="0" w:leftChars="0" w:firstLine="420" w:firstLineChars="200"/>
        <w:jc w:val="both"/>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六、加强PPP项目监管，坚决惩戒违规失信行为</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十五）依照《政府投资条例》、《企业投资项目核准和备案管理条例》和本通知有关规定，加强PPP项目监管。政府应依法依规履行承诺，不得擅自变更合同约定的政府方责任和义务。根据PPP项目合同约定，加强对社会资本方履约能力全过程动态监管，防止因社会资本方超出自身能力过度投资、过度举债，或因公司股权、管理结构发生重大变化等导致项目无法实施。依照规定将存在严重失信行为的地方政府、社会资本，通过“信用中国”网站等平台向社会公示，由相关部门依法依规对其实施联合惩戒。</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十六）指导监督PPP咨询机构严格执行《工程咨询行业管理办法》（国家发展改革委令2017年第9号），通过在线平台履行法定备案义务、接受行业监督管理。指导监督PPP咨询机构资信评价工作，引导PPP咨询机构积极参与行业自律管理，指导有关方面通过充分竞争、自主择优选取PPP咨询机构。严禁通过设置“短名单”、“机构库”等方式限制社会资本方、金融机构等自主选择PPP咨询机构。对PPP咨询机构不履行备案程序和违反合同服务、关联回避、质量追溯、反垄断等规定，以及违反《政府投资条例》决策程序规定、咨询或评估服务存在严重质量问题影响项目决策实施的，要严格按照规定给予处罚。</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各级发展改革部门要严格按照《政府投资条例》、《企业投资项目核准和备案管理条例》规定，并参照本通知要求，抓紧完善本地区PPP项目管理制度，确保与上位法保持一致。本通知自2019年7月1日起执行。原有政策规定与本通知内容不符的，以本通知为准。</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　　</w:t>
      </w:r>
    </w:p>
    <w:p>
      <w:pPr>
        <w:pStyle w:val="20"/>
        <w:spacing w:before="0" w:beforeAutospacing="0" w:after="0" w:afterAutospacing="0" w:line="360" w:lineRule="auto"/>
        <w:ind w:left="0" w:leftChars="0" w:firstLine="420" w:firstLineChars="200"/>
        <w:jc w:val="right"/>
        <w:rPr>
          <w:rFonts w:hint="eastAsia"/>
          <w:b w:val="0"/>
          <w:bCs w:val="0"/>
          <w:sz w:val="21"/>
          <w:szCs w:val="21"/>
          <w:lang w:val="en-US" w:eastAsia="zh-CN"/>
        </w:rPr>
      </w:pPr>
      <w:r>
        <w:rPr>
          <w:rFonts w:hint="eastAsia"/>
          <w:b w:val="0"/>
          <w:bCs w:val="0"/>
          <w:sz w:val="21"/>
          <w:szCs w:val="21"/>
          <w:lang w:val="en-US" w:eastAsia="zh-CN"/>
        </w:rPr>
        <w:t>国家发展改革委</w:t>
      </w:r>
    </w:p>
    <w:p>
      <w:pPr>
        <w:pStyle w:val="20"/>
        <w:spacing w:before="0" w:beforeAutospacing="0" w:after="0" w:afterAutospacing="0" w:line="360" w:lineRule="auto"/>
        <w:ind w:left="0" w:leftChars="0" w:firstLine="420" w:firstLineChars="200"/>
        <w:jc w:val="right"/>
        <w:rPr>
          <w:rFonts w:hint="eastAsia"/>
          <w:b w:val="0"/>
          <w:bCs w:val="0"/>
          <w:sz w:val="21"/>
          <w:szCs w:val="21"/>
          <w:lang w:val="en-US" w:eastAsia="zh-CN"/>
        </w:rPr>
      </w:pPr>
      <w:r>
        <w:rPr>
          <w:rFonts w:hint="eastAsia"/>
          <w:b w:val="0"/>
          <w:bCs w:val="0"/>
          <w:sz w:val="21"/>
          <w:szCs w:val="21"/>
          <w:lang w:val="en-US" w:eastAsia="zh-CN"/>
        </w:rPr>
        <w:t>2019年6月21日</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898989"/>
          <w:spacing w:val="0"/>
          <w:sz w:val="16"/>
          <w:szCs w:val="16"/>
        </w:rPr>
      </w:pPr>
      <w:r>
        <w:rPr>
          <w:rFonts w:hint="eastAsia" w:ascii="宋体" w:hAnsi="宋体" w:eastAsia="宋体" w:cs="宋体"/>
          <w:i w:val="0"/>
          <w:caps w:val="0"/>
          <w:color w:val="000000"/>
          <w:spacing w:val="0"/>
          <w:kern w:val="0"/>
          <w:sz w:val="16"/>
          <w:szCs w:val="16"/>
          <w:u w:val="none"/>
          <w:shd w:val="clear" w:fill="FFFFFF"/>
          <w:lang w:val="en-US" w:eastAsia="zh-CN" w:bidi="ar"/>
        </w:rPr>
        <w:fldChar w:fldCharType="begin"/>
      </w:r>
      <w:r>
        <w:rPr>
          <w:rFonts w:hint="eastAsia" w:ascii="宋体" w:hAnsi="宋体" w:eastAsia="宋体" w:cs="宋体"/>
          <w:i w:val="0"/>
          <w:caps w:val="0"/>
          <w:color w:val="000000"/>
          <w:spacing w:val="0"/>
          <w:kern w:val="0"/>
          <w:sz w:val="16"/>
          <w:szCs w:val="16"/>
          <w:u w:val="none"/>
          <w:shd w:val="clear" w:fill="FFFFFF"/>
          <w:lang w:val="en-US" w:eastAsia="zh-CN" w:bidi="ar"/>
        </w:rPr>
        <w:instrText xml:space="preserve"> HYPERLINK "http://www.gov.cn/xinwen/2019-07/16/content_5410058.htm" \o "微信" </w:instrText>
      </w:r>
      <w:r>
        <w:rPr>
          <w:rFonts w:hint="eastAsia" w:ascii="宋体" w:hAnsi="宋体" w:eastAsia="宋体" w:cs="宋体"/>
          <w:i w:val="0"/>
          <w:caps w:val="0"/>
          <w:color w:val="000000"/>
          <w:spacing w:val="0"/>
          <w:kern w:val="0"/>
          <w:sz w:val="16"/>
          <w:szCs w:val="16"/>
          <w:u w:val="none"/>
          <w:shd w:val="clear" w:fill="FFFFFF"/>
          <w:lang w:val="en-US" w:eastAsia="zh-CN" w:bidi="ar"/>
        </w:rPr>
        <w:fldChar w:fldCharType="separate"/>
      </w:r>
      <w:r>
        <w:rPr>
          <w:rStyle w:val="28"/>
          <w:rFonts w:hint="eastAsia" w:ascii="宋体" w:hAnsi="宋体" w:eastAsia="宋体" w:cs="宋体"/>
          <w:i w:val="0"/>
          <w:caps w:val="0"/>
          <w:color w:val="000000"/>
          <w:spacing w:val="0"/>
          <w:sz w:val="16"/>
          <w:szCs w:val="16"/>
          <w:u w:val="none"/>
          <w:shd w:val="clear" w:fill="FFFFFF"/>
        </w:rPr>
        <w:t> </w:t>
      </w:r>
      <w:r>
        <w:rPr>
          <w:rFonts w:hint="eastAsia" w:ascii="宋体" w:hAnsi="宋体" w:eastAsia="宋体" w:cs="宋体"/>
          <w:i w:val="0"/>
          <w:caps w:val="0"/>
          <w:color w:val="000000"/>
          <w:spacing w:val="0"/>
          <w:kern w:val="0"/>
          <w:sz w:val="16"/>
          <w:szCs w:val="16"/>
          <w:u w:val="none"/>
          <w:shd w:val="clear" w:fill="FFFFFF"/>
          <w:lang w:val="en-US" w:eastAsia="zh-CN" w:bidi="ar"/>
        </w:rPr>
        <w:fldChar w:fldCharType="end"/>
      </w:r>
      <w:r>
        <w:rPr>
          <w:rFonts w:hint="eastAsia" w:ascii="宋体" w:hAnsi="宋体" w:eastAsia="宋体" w:cs="宋体"/>
          <w:i w:val="0"/>
          <w:caps w:val="0"/>
          <w:color w:val="000000"/>
          <w:spacing w:val="0"/>
          <w:kern w:val="0"/>
          <w:sz w:val="16"/>
          <w:szCs w:val="16"/>
          <w:u w:val="none"/>
          <w:shd w:val="clear" w:fill="FFFFFF"/>
          <w:lang w:val="en-US" w:eastAsia="zh-CN" w:bidi="ar"/>
        </w:rPr>
        <w:fldChar w:fldCharType="begin"/>
      </w:r>
      <w:r>
        <w:rPr>
          <w:rFonts w:hint="eastAsia" w:ascii="宋体" w:hAnsi="宋体" w:eastAsia="宋体" w:cs="宋体"/>
          <w:i w:val="0"/>
          <w:caps w:val="0"/>
          <w:color w:val="000000"/>
          <w:spacing w:val="0"/>
          <w:kern w:val="0"/>
          <w:sz w:val="16"/>
          <w:szCs w:val="16"/>
          <w:u w:val="none"/>
          <w:shd w:val="clear" w:fill="FFFFFF"/>
          <w:lang w:val="en-US" w:eastAsia="zh-CN" w:bidi="ar"/>
        </w:rPr>
        <w:instrText xml:space="preserve"> HYPERLINK "http://www.gov.cn/xinwen/2019-07/16/content_5410058.htm" \o "新浪微博" </w:instrText>
      </w:r>
      <w:r>
        <w:rPr>
          <w:rFonts w:hint="eastAsia" w:ascii="宋体" w:hAnsi="宋体" w:eastAsia="宋体" w:cs="宋体"/>
          <w:i w:val="0"/>
          <w:caps w:val="0"/>
          <w:color w:val="000000"/>
          <w:spacing w:val="0"/>
          <w:kern w:val="0"/>
          <w:sz w:val="16"/>
          <w:szCs w:val="16"/>
          <w:u w:val="none"/>
          <w:shd w:val="clear" w:fill="FFFFFF"/>
          <w:lang w:val="en-US" w:eastAsia="zh-CN" w:bidi="ar"/>
        </w:rPr>
        <w:fldChar w:fldCharType="separate"/>
      </w:r>
      <w:r>
        <w:rPr>
          <w:rStyle w:val="28"/>
          <w:rFonts w:hint="eastAsia" w:ascii="宋体" w:hAnsi="宋体" w:eastAsia="宋体" w:cs="宋体"/>
          <w:i w:val="0"/>
          <w:caps w:val="0"/>
          <w:color w:val="000000"/>
          <w:spacing w:val="0"/>
          <w:sz w:val="16"/>
          <w:szCs w:val="16"/>
          <w:u w:val="none"/>
          <w:shd w:val="clear" w:fill="FFFFFF"/>
        </w:rPr>
        <w:t> </w:t>
      </w:r>
      <w:r>
        <w:rPr>
          <w:rFonts w:hint="eastAsia" w:ascii="宋体" w:hAnsi="宋体" w:eastAsia="宋体" w:cs="宋体"/>
          <w:i w:val="0"/>
          <w:caps w:val="0"/>
          <w:color w:val="000000"/>
          <w:spacing w:val="0"/>
          <w:kern w:val="0"/>
          <w:sz w:val="16"/>
          <w:szCs w:val="16"/>
          <w:u w:val="none"/>
          <w:shd w:val="clear" w:fill="FFFFFF"/>
          <w:lang w:val="en-US" w:eastAsia="zh-CN" w:bidi="ar"/>
        </w:rPr>
        <w:fldChar w:fldCharType="end"/>
      </w:r>
      <w:r>
        <w:rPr>
          <w:rStyle w:val="65"/>
          <w:rFonts w:hint="eastAsia" w:ascii="宋体" w:hAnsi="宋体" w:eastAsia="宋体" w:cs="宋体"/>
          <w:i w:val="0"/>
          <w:caps w:val="0"/>
          <w:color w:val="898989"/>
          <w:spacing w:val="0"/>
          <w:kern w:val="0"/>
          <w:sz w:val="16"/>
          <w:szCs w:val="16"/>
          <w:shd w:val="clear" w:fill="FFFFFF"/>
          <w:lang w:val="en-US" w:eastAsia="zh-CN" w:bidi="ar"/>
        </w:rPr>
        <w:t> </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center"/>
        <w:outlineLvl w:val="1"/>
        <w:rPr>
          <w:color w:val="auto"/>
          <w:sz w:val="24"/>
          <w:szCs w:val="24"/>
        </w:rPr>
      </w:pPr>
      <w:bookmarkStart w:id="168" w:name="_Toc1212"/>
      <w:r>
        <w:rPr>
          <w:rFonts w:hint="eastAsia" w:ascii="宋体" w:hAnsi="宋体" w:eastAsia="宋体" w:cs="宋体"/>
          <w:b/>
          <w:i w:val="0"/>
          <w:caps w:val="0"/>
          <w:color w:val="auto"/>
          <w:spacing w:val="0"/>
          <w:sz w:val="30"/>
          <w:szCs w:val="30"/>
          <w:shd w:val="clear" w:fill="FFFFFF"/>
        </w:rPr>
        <w:t>关于印发《加快完善市场主体退出制度改革方案》的通知</w:t>
      </w:r>
      <w:r>
        <w:rPr>
          <w:rFonts w:hint="eastAsia" w:ascii="宋体" w:hAnsi="宋体" w:eastAsia="宋体" w:cs="宋体"/>
          <w:b/>
          <w:i w:val="0"/>
          <w:caps w:val="0"/>
          <w:color w:val="auto"/>
          <w:spacing w:val="0"/>
          <w:sz w:val="30"/>
          <w:szCs w:val="30"/>
          <w:shd w:val="clear" w:fill="FFFFFF"/>
        </w:rPr>
        <w:br w:type="textWrapping"/>
      </w:r>
      <w:r>
        <w:rPr>
          <w:rFonts w:ascii="楷体" w:hAnsi="楷体" w:eastAsia="楷体" w:cs="楷体"/>
          <w:i w:val="0"/>
          <w:caps w:val="0"/>
          <w:color w:val="auto"/>
          <w:spacing w:val="0"/>
          <w:sz w:val="24"/>
          <w:szCs w:val="24"/>
          <w:shd w:val="clear" w:fill="FFFFFF"/>
        </w:rPr>
        <w:t>发改财金〔2019〕1104号</w:t>
      </w:r>
      <w:bookmarkEnd w:id="168"/>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fill="FFFFFF"/>
        </w:rPr>
        <w:t>各省、自治区、直辖市人民政府，国务院各部委、各直属机构：</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fill="FFFFFF"/>
        </w:rPr>
        <w:t>为深入学习习近平新时代中国特色社会主义思想，全面贯彻党的十九大和十九届二中、三中全会精神，畅通市场主体退出渠道，降低市场主体退出成本，激发市场主体竞争活力，完善优胜劣汰的市场机制，推动经济高质量发展，经国务院同意，现将</w:t>
      </w:r>
      <w:r>
        <w:rPr>
          <w:rFonts w:hint="eastAsia" w:ascii="宋体" w:hAnsi="宋体" w:eastAsia="宋体" w:cs="宋体"/>
          <w:i w:val="0"/>
          <w:caps w:val="0"/>
          <w:color w:val="auto"/>
          <w:spacing w:val="0"/>
          <w:sz w:val="24"/>
          <w:szCs w:val="24"/>
          <w:u w:val="none"/>
          <w:shd w:val="clear" w:fill="FFFFFF"/>
        </w:rPr>
        <w:fldChar w:fldCharType="begin"/>
      </w:r>
      <w:r>
        <w:rPr>
          <w:rFonts w:hint="eastAsia" w:ascii="宋体" w:hAnsi="宋体" w:eastAsia="宋体" w:cs="宋体"/>
          <w:i w:val="0"/>
          <w:caps w:val="0"/>
          <w:color w:val="auto"/>
          <w:spacing w:val="0"/>
          <w:sz w:val="24"/>
          <w:szCs w:val="24"/>
          <w:u w:val="none"/>
          <w:shd w:val="clear" w:fill="FFFFFF"/>
        </w:rPr>
        <w:instrText xml:space="preserve"> HYPERLINK "http://www.gov.cn/xinwen/2019-07/16/5410058/files/bbaef6612fed4832b70a122b39f1d5bd.pdf" \t "http://www.gov.cn/xinwen/2019-07/16/_blank" </w:instrText>
      </w:r>
      <w:r>
        <w:rPr>
          <w:rFonts w:hint="eastAsia" w:ascii="宋体" w:hAnsi="宋体" w:eastAsia="宋体" w:cs="宋体"/>
          <w:i w:val="0"/>
          <w:caps w:val="0"/>
          <w:color w:val="auto"/>
          <w:spacing w:val="0"/>
          <w:sz w:val="24"/>
          <w:szCs w:val="24"/>
          <w:u w:val="none"/>
          <w:shd w:val="clear" w:fill="FFFFFF"/>
        </w:rPr>
        <w:fldChar w:fldCharType="separate"/>
      </w:r>
      <w:r>
        <w:rPr>
          <w:rStyle w:val="28"/>
          <w:rFonts w:hint="eastAsia" w:ascii="宋体" w:hAnsi="宋体" w:eastAsia="宋体" w:cs="宋体"/>
          <w:i w:val="0"/>
          <w:caps w:val="0"/>
          <w:color w:val="auto"/>
          <w:spacing w:val="0"/>
          <w:sz w:val="24"/>
          <w:szCs w:val="24"/>
          <w:u w:val="none"/>
          <w:shd w:val="clear" w:fill="FFFFFF"/>
        </w:rPr>
        <w:t>《加快完善市场主体退出制度改革方案》</w:t>
      </w:r>
      <w:r>
        <w:rPr>
          <w:rFonts w:hint="eastAsia" w:ascii="宋体" w:hAnsi="宋体" w:eastAsia="宋体" w:cs="宋体"/>
          <w:i w:val="0"/>
          <w:caps w:val="0"/>
          <w:color w:val="auto"/>
          <w:spacing w:val="0"/>
          <w:sz w:val="24"/>
          <w:szCs w:val="24"/>
          <w:u w:val="none"/>
          <w:shd w:val="clear" w:fill="FFFFFF"/>
        </w:rPr>
        <w:fldChar w:fldCharType="end"/>
      </w:r>
      <w:r>
        <w:rPr>
          <w:rFonts w:hint="eastAsia" w:ascii="宋体" w:hAnsi="宋体" w:eastAsia="宋体" w:cs="宋体"/>
          <w:i w:val="0"/>
          <w:caps w:val="0"/>
          <w:color w:val="auto"/>
          <w:spacing w:val="0"/>
          <w:sz w:val="24"/>
          <w:szCs w:val="24"/>
          <w:shd w:val="clear" w:fill="FFFFFF"/>
        </w:rPr>
        <w:t>印发你们，请认真组织实施，抓好任务落实。</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i w:val="0"/>
          <w:caps w:val="0"/>
          <w:color w:val="auto"/>
          <w:spacing w:val="0"/>
          <w:sz w:val="24"/>
          <w:szCs w:val="24"/>
          <w:shd w:val="clear" w:fill="FFFFFF"/>
        </w:rPr>
        <w:t>国家发展改革委</w:t>
      </w:r>
      <w:r>
        <w:rPr>
          <w:rFonts w:hint="eastAsia" w:ascii="宋体" w:hAnsi="宋体" w:eastAsia="宋体" w:cs="宋体"/>
          <w:i w:val="0"/>
          <w:caps w:val="0"/>
          <w:color w:val="auto"/>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最高人民法院</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工业和信息化部</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民政部</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司法部</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财政部</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人力资源社会保障部</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人民银行</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国资委</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税务总局</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市场监管总局</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银保监会</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证监会</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2019年6月22日</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p>
    <w:p>
      <w:pPr>
        <w:pStyle w:val="20"/>
        <w:spacing w:before="0" w:beforeAutospacing="0" w:after="0" w:afterAutospacing="0" w:line="360" w:lineRule="auto"/>
        <w:ind w:left="0" w:leftChars="0" w:firstLine="602" w:firstLineChars="200"/>
        <w:jc w:val="center"/>
        <w:rPr>
          <w:rFonts w:ascii="宋体" w:hAnsi="宋体" w:eastAsia="宋体" w:cs="宋体"/>
          <w:b/>
          <w:bCs/>
          <w:sz w:val="30"/>
          <w:szCs w:val="30"/>
        </w:rPr>
      </w:pPr>
    </w:p>
    <w:p>
      <w:pPr>
        <w:pStyle w:val="20"/>
        <w:spacing w:before="0" w:beforeAutospacing="0" w:after="0" w:afterAutospacing="0" w:line="360" w:lineRule="auto"/>
        <w:ind w:left="0" w:leftChars="0" w:firstLine="602" w:firstLineChars="200"/>
        <w:jc w:val="center"/>
        <w:rPr>
          <w:rFonts w:ascii="宋体" w:hAnsi="宋体" w:eastAsia="宋体" w:cs="宋体"/>
          <w:b/>
          <w:bCs/>
          <w:sz w:val="30"/>
          <w:szCs w:val="30"/>
        </w:rPr>
      </w:pPr>
      <w:r>
        <w:rPr>
          <w:rFonts w:ascii="宋体" w:hAnsi="宋体" w:eastAsia="宋体" w:cs="宋体"/>
          <w:b/>
          <w:bCs/>
          <w:sz w:val="30"/>
          <w:szCs w:val="30"/>
        </w:rPr>
        <w:t>加快完善市场主体退出制度改革方案</w:t>
      </w:r>
    </w:p>
    <w:p>
      <w:pPr>
        <w:pStyle w:val="20"/>
        <w:spacing w:before="0" w:beforeAutospacing="0" w:after="0" w:afterAutospacing="0" w:line="360" w:lineRule="auto"/>
        <w:ind w:left="0" w:leftChars="0" w:firstLine="480" w:firstLineChars="200"/>
        <w:jc w:val="both"/>
        <w:rPr>
          <w:rFonts w:ascii="宋体" w:hAnsi="宋体" w:eastAsia="宋体" w:cs="宋体"/>
          <w:sz w:val="24"/>
          <w:szCs w:val="24"/>
        </w:rPr>
      </w:pPr>
    </w:p>
    <w:p>
      <w:pPr>
        <w:pStyle w:val="20"/>
        <w:spacing w:before="0" w:beforeAutospacing="0" w:after="0" w:afterAutospacing="0" w:line="360" w:lineRule="auto"/>
        <w:ind w:left="0" w:leftChars="0" w:firstLine="480" w:firstLineChars="200"/>
        <w:jc w:val="both"/>
        <w:rPr>
          <w:rFonts w:ascii="宋体" w:hAnsi="宋体" w:eastAsia="宋体" w:cs="宋体"/>
          <w:sz w:val="24"/>
          <w:szCs w:val="24"/>
        </w:rPr>
      </w:pPr>
      <w:r>
        <w:rPr>
          <w:rFonts w:ascii="宋体" w:hAnsi="宋体" w:eastAsia="宋体" w:cs="宋体"/>
          <w:sz w:val="24"/>
          <w:szCs w:val="24"/>
        </w:rPr>
        <w:t xml:space="preserve">市场主体退出制度是现代化经济体系的重要组成部分。为进一 步畅通市场主体退出渠道，降低市场主体退出成本，激发市场主体 竞争活力，完善优胜劣汰的市场机制，推动经济高质量发展，经国 务院同意，现就加快完善市场主体退出制度提出如下改革方案。 </w:t>
      </w:r>
    </w:p>
    <w:p>
      <w:pPr>
        <w:pStyle w:val="20"/>
        <w:numPr>
          <w:ilvl w:val="0"/>
          <w:numId w:val="1"/>
        </w:numPr>
        <w:spacing w:before="0" w:beforeAutospacing="0" w:after="0" w:afterAutospacing="0" w:line="360" w:lineRule="auto"/>
        <w:ind w:left="0" w:leftChars="0" w:firstLine="480" w:firstLineChars="200"/>
        <w:jc w:val="both"/>
        <w:rPr>
          <w:rFonts w:ascii="宋体" w:hAnsi="宋体" w:eastAsia="宋体" w:cs="宋体"/>
          <w:sz w:val="24"/>
          <w:szCs w:val="24"/>
        </w:rPr>
      </w:pPr>
      <w:r>
        <w:rPr>
          <w:rFonts w:ascii="宋体" w:hAnsi="宋体" w:eastAsia="宋体" w:cs="宋体"/>
          <w:sz w:val="24"/>
          <w:szCs w:val="24"/>
        </w:rPr>
        <w:t xml:space="preserve">总体要求 </w:t>
      </w:r>
    </w:p>
    <w:p>
      <w:pPr>
        <w:pStyle w:val="20"/>
        <w:numPr>
          <w:ilvl w:val="0"/>
          <w:numId w:val="2"/>
        </w:numPr>
        <w:spacing w:before="0" w:beforeAutospacing="0" w:after="0" w:afterAutospacing="0" w:line="360" w:lineRule="auto"/>
        <w:ind w:left="0" w:leftChars="0" w:firstLine="420" w:firstLineChars="175"/>
        <w:jc w:val="both"/>
        <w:rPr>
          <w:rFonts w:ascii="宋体" w:hAnsi="宋体" w:eastAsia="宋体" w:cs="宋体"/>
          <w:sz w:val="24"/>
          <w:szCs w:val="24"/>
        </w:rPr>
      </w:pPr>
      <w:r>
        <w:rPr>
          <w:rFonts w:ascii="宋体" w:hAnsi="宋体" w:eastAsia="宋体" w:cs="宋体"/>
          <w:sz w:val="24"/>
          <w:szCs w:val="24"/>
        </w:rPr>
        <w:t xml:space="preserve">指导思想。 以习近平新时代中国特色社会主义思想为指导，全面贯彻党的 十九大和十九届二中、三中全会精神，统筹推进“五位一体”总体 布局，协调推进“四个全面”战略布局，坚持稳中求进工作总基调， 坚持新发展理念，坚持推动高质量发展，坚持以供给侧结构性改革 为主线，以促进资源优化配置和提高资源使用效率为目标，按照市 场化、法治化原则，建立健全市场主体退出制度，提高市场重组、 出清的质量和效率，促进市场主体优胜劣汰和资源优化配置，推动 经济高质量发展和现代化经济体系建设。 </w:t>
      </w:r>
    </w:p>
    <w:p>
      <w:pPr>
        <w:pStyle w:val="20"/>
        <w:numPr>
          <w:ilvl w:val="0"/>
          <w:numId w:val="2"/>
        </w:numPr>
        <w:spacing w:before="0" w:beforeAutospacing="0" w:after="0" w:afterAutospacing="0" w:line="360" w:lineRule="auto"/>
        <w:ind w:left="0" w:leftChars="0" w:firstLine="420" w:firstLineChars="175"/>
        <w:jc w:val="both"/>
        <w:rPr>
          <w:rFonts w:ascii="宋体" w:hAnsi="宋体" w:eastAsia="宋体" w:cs="宋体"/>
          <w:sz w:val="24"/>
          <w:szCs w:val="24"/>
        </w:rPr>
      </w:pPr>
      <w:r>
        <w:rPr>
          <w:rFonts w:ascii="宋体" w:hAnsi="宋体" w:eastAsia="宋体" w:cs="宋体"/>
          <w:sz w:val="24"/>
          <w:szCs w:val="24"/>
        </w:rPr>
        <w:t xml:space="preserve">基本原则。 ——坚持市场化改革。充分发挥市场配置资源的决定性作用， 规范市场竞争秩序，减少市场扭曲，完善优胜劣汰的市场机制，促 进生产要素和资源由无效低效市场主体向高效市场主体流动，最大 程度发挥各类要素和资源潜力。更好发挥政府作用，创新调控、监 2 管、服务方式，为市场主体依法退出营造良好的制度环境。 ——坚持法治化方向。加快完善市场主体退出的法律法规，尊 重和保障市场主体自主经营权利。有效衔接各类法律法规和相关政 策，有效降低市场主体退出交易成本。在市场机制不能有效发挥作 用的领域，通过合理运用公共政策，引导或强制低效无效市场主体 依法有序退出，同时畅通退出权利救济途径。 ——坚持约束与激励并举。强化市场纪律，促进市场主体审慎 经营，防止盲目激进经营和过度负债。对经营失败的诚实市场主体 给予适当宽容，使退出市场主体承担合理有限责任，保留再创业机 会，保护创新创业的积极性。 ——坚持保护各方合理权益。处理好企业职工、各类债权人、 股东以及其他利益相关方之间的权利义务关系，切实防范逃废债等 道德风险，确保各方依法公平合理分担退出成本，保障市场主体退 出稳妥有序、风险可控。同时着眼全局和长期利益，提高退出效率， 防止因利益纠葛久拖不决导致多输局面。 </w:t>
      </w:r>
    </w:p>
    <w:p>
      <w:pPr>
        <w:pStyle w:val="20"/>
        <w:numPr>
          <w:ilvl w:val="0"/>
          <w:numId w:val="2"/>
        </w:numPr>
        <w:spacing w:before="0" w:beforeAutospacing="0" w:after="0" w:afterAutospacing="0" w:line="360" w:lineRule="auto"/>
        <w:ind w:left="0" w:leftChars="0" w:firstLine="420" w:firstLineChars="175"/>
        <w:jc w:val="both"/>
        <w:rPr>
          <w:rFonts w:ascii="宋体" w:hAnsi="宋体" w:eastAsia="宋体" w:cs="宋体"/>
          <w:sz w:val="24"/>
          <w:szCs w:val="24"/>
        </w:rPr>
      </w:pPr>
      <w:r>
        <w:rPr>
          <w:rFonts w:ascii="宋体" w:hAnsi="宋体" w:eastAsia="宋体" w:cs="宋体"/>
          <w:sz w:val="24"/>
          <w:szCs w:val="24"/>
        </w:rPr>
        <w:t>总体目标。 逐步建立起与现代化经济体系相适应，覆盖企业等营利法人、 非营利法人、非法人组织、农民专业合作社、个体工商户、自然人 等各类市场主体的便利、高效、有序的退出制度，市场主体退出渠 道进一步畅通，市场主体退出成本明显下降，无效低效市场主体加 快退出，为构建市场机制有效、微观主体有活力、宏观调控有度的 经济体制提供有力支撑。</w:t>
      </w:r>
    </w:p>
    <w:p>
      <w:pPr>
        <w:pStyle w:val="20"/>
        <w:numPr>
          <w:ilvl w:val="0"/>
          <w:numId w:val="1"/>
        </w:numPr>
        <w:spacing w:before="0" w:beforeAutospacing="0" w:after="0" w:afterAutospacing="0" w:line="360" w:lineRule="auto"/>
        <w:ind w:left="0" w:leftChars="0" w:firstLine="480" w:firstLineChars="200"/>
        <w:jc w:val="both"/>
        <w:rPr>
          <w:rFonts w:ascii="宋体" w:hAnsi="宋体" w:eastAsia="宋体" w:cs="宋体"/>
          <w:sz w:val="24"/>
          <w:szCs w:val="24"/>
        </w:rPr>
      </w:pPr>
      <w:r>
        <w:rPr>
          <w:rFonts w:ascii="宋体" w:hAnsi="宋体" w:eastAsia="宋体" w:cs="宋体"/>
          <w:sz w:val="24"/>
          <w:szCs w:val="24"/>
        </w:rPr>
        <w:t xml:space="preserve">规范市场主体退出方式 按照市场化法治化原则，进一步明确市场主体退出方式，完善 规范退出的条件、标准和具体程序，使各类市场主体均有适当的退 出方式和渠道。 </w:t>
      </w:r>
    </w:p>
    <w:p>
      <w:pPr>
        <w:pStyle w:val="20"/>
        <w:numPr>
          <w:ilvl w:val="0"/>
          <w:numId w:val="3"/>
        </w:numPr>
        <w:spacing w:before="0" w:beforeAutospacing="0" w:after="0" w:afterAutospacing="0" w:line="360" w:lineRule="auto"/>
        <w:ind w:left="0" w:leftChars="0" w:firstLine="420" w:firstLineChars="175"/>
        <w:jc w:val="both"/>
        <w:rPr>
          <w:rFonts w:hint="eastAsia"/>
          <w:b w:val="0"/>
          <w:bCs w:val="0"/>
          <w:sz w:val="21"/>
          <w:szCs w:val="21"/>
          <w:lang w:val="en-US" w:eastAsia="zh-CN"/>
        </w:rPr>
      </w:pPr>
      <w:r>
        <w:rPr>
          <w:rFonts w:ascii="宋体" w:hAnsi="宋体" w:eastAsia="宋体" w:cs="宋体"/>
          <w:sz w:val="24"/>
          <w:szCs w:val="24"/>
        </w:rPr>
        <w:t xml:space="preserve">规范自愿解散退出。企业等营利法人、非营利法人和非 法人组织在其设立章程中应按照意思自治原则依法对解散事由作 出约定，当解散事由出现时，除法律另有规定外，由市场主体按照 治理程序决议解散，自愿退出市场。 </w:t>
      </w:r>
    </w:p>
    <w:p>
      <w:pPr>
        <w:pStyle w:val="20"/>
        <w:numPr>
          <w:ilvl w:val="0"/>
          <w:numId w:val="3"/>
        </w:numPr>
        <w:spacing w:before="0" w:beforeAutospacing="0" w:after="0" w:afterAutospacing="0" w:line="360" w:lineRule="auto"/>
        <w:ind w:left="0" w:leftChars="0" w:firstLine="420" w:firstLineChars="175"/>
        <w:jc w:val="both"/>
        <w:rPr>
          <w:rFonts w:ascii="宋体" w:hAnsi="宋体" w:eastAsia="宋体" w:cs="宋体"/>
          <w:sz w:val="24"/>
          <w:szCs w:val="24"/>
        </w:rPr>
      </w:pPr>
      <w:r>
        <w:rPr>
          <w:rFonts w:ascii="宋体" w:hAnsi="宋体" w:eastAsia="宋体" w:cs="宋体"/>
          <w:sz w:val="24"/>
          <w:szCs w:val="24"/>
        </w:rPr>
        <w:t>建立健全破产退出渠道。在进一步完善企业破产制度的 基础上，研究建立非营利法人、非法人组织、个体工商户、自然人 等市场主体的破产制度，扩大破产制度覆盖面，畅通存在债权债务 关系的市场主体退出渠道。</w:t>
      </w:r>
    </w:p>
    <w:p>
      <w:pPr>
        <w:pStyle w:val="20"/>
        <w:numPr>
          <w:ilvl w:val="0"/>
          <w:numId w:val="3"/>
        </w:numPr>
        <w:spacing w:before="0" w:beforeAutospacing="0" w:after="0" w:afterAutospacing="0" w:line="360" w:lineRule="auto"/>
        <w:ind w:left="0" w:leftChars="0" w:firstLine="420" w:firstLineChars="175"/>
        <w:jc w:val="both"/>
        <w:rPr>
          <w:rFonts w:ascii="宋体" w:hAnsi="宋体" w:eastAsia="宋体" w:cs="宋体"/>
          <w:sz w:val="24"/>
          <w:szCs w:val="24"/>
        </w:rPr>
      </w:pPr>
      <w:r>
        <w:rPr>
          <w:rFonts w:ascii="宋体" w:hAnsi="宋体" w:eastAsia="宋体" w:cs="宋体"/>
          <w:sz w:val="24"/>
          <w:szCs w:val="24"/>
        </w:rPr>
        <w:t xml:space="preserve">稳妥实施强制解散退出。严格限定市场主体因政府公共 政策规定而强制解散退出的条件，稳妥处置退出后相关事宜，依法 保护市场主体产权。统一市场主体强制解散退出的标准和程序。对 强制解散退出应设定救济程序，依法保障退出市场主体和利益相关 方的合法权益。 （四）明确特定领域退出规则。因公共安全、产业调控、区域 发展、技术标准、环境保护等公共利益需要，有关机关可以依法强 制或引导市场主体从特定生产领域、业务领域退出。研究在相关法 规和政策中进一步明确特定领域退出的触发条件、补偿机制。 </w:t>
      </w:r>
    </w:p>
    <w:p>
      <w:pPr>
        <w:pStyle w:val="20"/>
        <w:numPr>
          <w:ilvl w:val="0"/>
          <w:numId w:val="1"/>
        </w:numPr>
        <w:spacing w:before="0" w:beforeAutospacing="0" w:after="0" w:afterAutospacing="0" w:line="360" w:lineRule="auto"/>
        <w:ind w:left="0" w:leftChars="0" w:firstLine="480" w:firstLineChars="200"/>
        <w:jc w:val="both"/>
        <w:rPr>
          <w:rFonts w:ascii="宋体" w:hAnsi="宋体" w:eastAsia="宋体" w:cs="宋体"/>
          <w:sz w:val="24"/>
          <w:szCs w:val="24"/>
        </w:rPr>
      </w:pPr>
      <w:r>
        <w:rPr>
          <w:rFonts w:ascii="宋体" w:hAnsi="宋体" w:eastAsia="宋体" w:cs="宋体"/>
          <w:sz w:val="24"/>
          <w:szCs w:val="24"/>
        </w:rPr>
        <w:t xml:space="preserve">健全清算注销制度 </w:t>
      </w:r>
    </w:p>
    <w:p>
      <w:pPr>
        <w:pStyle w:val="20"/>
        <w:numPr>
          <w:ilvl w:val="0"/>
          <w:numId w:val="0"/>
        </w:numPr>
        <w:spacing w:before="0" w:beforeAutospacing="0" w:after="0" w:afterAutospacing="0" w:line="360" w:lineRule="auto"/>
        <w:ind w:left="0" w:leftChars="0" w:firstLine="420" w:firstLineChars="175"/>
        <w:jc w:val="both"/>
        <w:rPr>
          <w:rFonts w:ascii="宋体" w:hAnsi="宋体" w:eastAsia="宋体" w:cs="宋体"/>
          <w:sz w:val="24"/>
          <w:szCs w:val="24"/>
        </w:rPr>
      </w:pPr>
      <w:r>
        <w:rPr>
          <w:rFonts w:ascii="宋体" w:hAnsi="宋体" w:eastAsia="宋体" w:cs="宋体"/>
          <w:sz w:val="24"/>
          <w:szCs w:val="24"/>
        </w:rPr>
        <w:t xml:space="preserve">市场主体出现解散事由，应按程序依法组织清算组开展清算。 市场主体无法就自行清算达成一致或相关责任主体怠于履行清算 义务的，企业等市场主体的股东或债权人可以依法申请法院指定清 算组进行强制清算。清算结束后，清算组应依法及时申请注销登记。 清算过程中符合破产条件的，应依法及时转入破产程序。 </w:t>
      </w:r>
    </w:p>
    <w:p>
      <w:pPr>
        <w:pStyle w:val="20"/>
        <w:numPr>
          <w:ilvl w:val="0"/>
          <w:numId w:val="4"/>
        </w:numPr>
        <w:spacing w:before="0" w:beforeAutospacing="0" w:after="0" w:afterAutospacing="0" w:line="360" w:lineRule="auto"/>
        <w:ind w:left="0" w:leftChars="0" w:firstLine="420" w:firstLineChars="175"/>
        <w:jc w:val="both"/>
        <w:rPr>
          <w:rFonts w:ascii="宋体" w:hAnsi="宋体" w:eastAsia="宋体" w:cs="宋体"/>
          <w:sz w:val="24"/>
          <w:szCs w:val="24"/>
        </w:rPr>
      </w:pPr>
      <w:r>
        <w:rPr>
          <w:rFonts w:ascii="宋体" w:hAnsi="宋体" w:eastAsia="宋体" w:cs="宋体"/>
          <w:sz w:val="24"/>
          <w:szCs w:val="24"/>
        </w:rPr>
        <w:t>完善市场主体清算机制。 强化市场主体履行清算义务的责任，根据市场主体不同性质和 类型，明确清算程序的启动条件和清算期限、清算义务人的权利义 务。建立清算义务人怠于履行清算义务时的法律责任追究机制。完 善公司解散清算与破产清算程序的衔接机制。（最高人民法院、国 家发展改革委、司法部、市场监管总局等按职责分工负责）</w:t>
      </w:r>
    </w:p>
    <w:p>
      <w:pPr>
        <w:pStyle w:val="20"/>
        <w:numPr>
          <w:ilvl w:val="0"/>
          <w:numId w:val="4"/>
        </w:numPr>
        <w:spacing w:before="0" w:beforeAutospacing="0" w:after="0" w:afterAutospacing="0" w:line="360" w:lineRule="auto"/>
        <w:ind w:left="0" w:leftChars="0" w:firstLine="420" w:firstLineChars="175"/>
        <w:jc w:val="both"/>
        <w:rPr>
          <w:rFonts w:ascii="宋体" w:hAnsi="宋体" w:eastAsia="宋体" w:cs="宋体"/>
          <w:sz w:val="24"/>
          <w:szCs w:val="24"/>
        </w:rPr>
      </w:pPr>
      <w:r>
        <w:rPr>
          <w:rFonts w:ascii="宋体" w:hAnsi="宋体" w:eastAsia="宋体" w:cs="宋体"/>
          <w:sz w:val="24"/>
          <w:szCs w:val="24"/>
        </w:rPr>
        <w:t xml:space="preserve">完善注销登记制度。 提高注销登记制度的便利程度，加大技术平台投入，利用现代 信息技术减少或取消现场办理环节，大幅降低市场主体退出的交易 成本。进一步探索简化普通注销程序，研究通过改革清算公告发布 渠道、减少公告等待时间、对符合条件的市场主体豁免提交清算报 告等方式，进一步完善普通注销制度。研究探索在法律法规中增加 关于企业简易注销登记程序等相关规定的必要性和可行性。研究建 立市场主体强制退出制度，完善相关法律法规，对因经营异常、违 法失信而被吊销营业执照、责令关闭的企业和个体工商户等市场主 体，依照法定程序实施强制退出。（市场监管总局牵头负责） </w:t>
      </w:r>
    </w:p>
    <w:p>
      <w:pPr>
        <w:pStyle w:val="20"/>
        <w:numPr>
          <w:ilvl w:val="0"/>
          <w:numId w:val="1"/>
        </w:numPr>
        <w:spacing w:before="0" w:beforeAutospacing="0" w:after="0" w:afterAutospacing="0" w:line="360" w:lineRule="auto"/>
        <w:ind w:left="0" w:leftChars="0" w:firstLine="480" w:firstLineChars="200"/>
        <w:jc w:val="both"/>
        <w:rPr>
          <w:rFonts w:ascii="宋体" w:hAnsi="宋体" w:eastAsia="宋体" w:cs="宋体"/>
          <w:sz w:val="24"/>
          <w:szCs w:val="24"/>
        </w:rPr>
      </w:pPr>
      <w:r>
        <w:rPr>
          <w:rFonts w:ascii="宋体" w:hAnsi="宋体" w:eastAsia="宋体" w:cs="宋体"/>
          <w:sz w:val="24"/>
          <w:szCs w:val="24"/>
        </w:rPr>
        <w:t xml:space="preserve">完善破产法律制度市场主体达到法定破产条件，应当依法通过破产程序进行清理，或推动利益相关方庭外协议重组，以尽快盘活存量资产，释放资源要素。对陷入财务困境但仍具有经营价值和再生希望的企业，支持债权人、债务人及利益相关方利用破产重整或庭外协议重组等方式，推动企业债务、股权结构和业务重组，恢复生产经营。对丧失经营价值和再生无望的企业，要及时通过破产程序实现市场出清。 </w:t>
      </w:r>
    </w:p>
    <w:p>
      <w:pPr>
        <w:pStyle w:val="20"/>
        <w:numPr>
          <w:ilvl w:val="0"/>
          <w:numId w:val="5"/>
        </w:numPr>
        <w:spacing w:before="0" w:beforeAutospacing="0" w:after="0" w:afterAutospacing="0" w:line="360" w:lineRule="auto"/>
        <w:ind w:left="0" w:leftChars="0" w:firstLine="420" w:firstLineChars="175"/>
        <w:jc w:val="both"/>
        <w:rPr>
          <w:rFonts w:ascii="宋体" w:hAnsi="宋体" w:eastAsia="宋体" w:cs="宋体"/>
          <w:sz w:val="24"/>
          <w:szCs w:val="24"/>
        </w:rPr>
      </w:pPr>
      <w:r>
        <w:rPr>
          <w:rFonts w:ascii="宋体" w:hAnsi="宋体" w:eastAsia="宋体" w:cs="宋体"/>
          <w:sz w:val="24"/>
          <w:szCs w:val="24"/>
        </w:rPr>
        <w:t xml:space="preserve">完善企业破产制度。完善企业破产启动与审理程序。完善破产程序启动制度，厘清 政府、法院、债务人、债权人和破产管理人在破产程序中的权利义 务。企业符合破产条件时，应依法及时启动破产程序，不得设定超 出法律规定的条件和程序。研究规定企业和企业高级管理人员等相 关责任主体在企业陷入财务困境时负有及时申请破产清算或重整 义务的必要性和可行性。总结执行转破产实践经验，明确执行转破 产制度的法律地位。完善破产程序中债权清偿顺位规则。建立破产 简易审理程序，实行破产案件繁简分流。完善跨境破产和关联企业 破产规则，推动解决跨境破产、复杂主体破产难题。完善破产企业 有关人员法律责任制度，严厉打击恶意逃废债等违法违规行为。（最高人民法院、国家发展改革委、司法部、中国银保监会等按职责分 工负责） 研究建立预重整和庭外重组制度。完善金融机构债权人委员会 制度，明确金融机构债权人委员会制度和庭内债权人委员会制度的程序转换和决议效力认可机制。研究建立预重整制度，实现庭外重 组制度、预重整制度与破产重整制度的有效衔接，强化庭外重组的 公信力和约束力，明确预重整的法律地位和制度内容。（最高人民 法院、国家发展改革委、司法部、中国人民银行、中国银保监会、 中国证监会等按职责分工负责） 完善企业破产重整制度。倡导积极重建的破产重整理念，切实 解决企业破产污名化问题，充分利用破产重整制度促进企业重组重 生。细化完善重整程序实施规则，明确强制批准重整计划的审查标 准和法律依据，规范法院对重整计划的强制批准权。完善重整程序 中的分组表决机制。优化管理人制度和管理模式，明确管理人与债 务人、债权人之间的权利界限，合理发挥债务人在重整程序中的作 用。建立吸收具备专业资质能力的人员参与重整企业经营管理的机 制，促进重整企业保持经营价值。（最高人民法院、国家发展改革 委、司法部、中国人民银行、中国银保监会、中国证监会等按职责 分工负责） </w:t>
      </w:r>
    </w:p>
    <w:p>
      <w:pPr>
        <w:pStyle w:val="20"/>
        <w:numPr>
          <w:ilvl w:val="0"/>
          <w:numId w:val="5"/>
        </w:numPr>
        <w:spacing w:before="0" w:beforeAutospacing="0" w:after="0" w:afterAutospacing="0" w:line="360" w:lineRule="auto"/>
        <w:ind w:left="0" w:leftChars="0" w:firstLine="420" w:firstLineChars="175"/>
        <w:jc w:val="both"/>
        <w:rPr>
          <w:rFonts w:ascii="宋体" w:hAnsi="宋体" w:eastAsia="宋体" w:cs="宋体"/>
          <w:sz w:val="24"/>
          <w:szCs w:val="24"/>
        </w:rPr>
      </w:pPr>
      <w:r>
        <w:rPr>
          <w:rFonts w:ascii="宋体" w:hAnsi="宋体" w:eastAsia="宋体" w:cs="宋体"/>
          <w:sz w:val="24"/>
          <w:szCs w:val="24"/>
        </w:rPr>
        <w:t>分步推进建立自然人破产制度。 研究建立个人破产制度，重点解决企业破产产生的自然人连带 责任担保债务问题。明确自然人因担保等原因而承担与生产经营活 动相关的负债可依法合理免责。逐步推进建立自然人符合条件的消 费负债可依法合理免责，最终建立全面的个人破产制度。（国家发 展改革委、司法部、中国人民银行、中国银保监会等按职责分工负 责）</w:t>
      </w:r>
    </w:p>
    <w:p>
      <w:pPr>
        <w:pStyle w:val="20"/>
        <w:numPr>
          <w:ilvl w:val="0"/>
          <w:numId w:val="5"/>
        </w:numPr>
        <w:spacing w:before="0" w:beforeAutospacing="0" w:after="0" w:afterAutospacing="0" w:line="360" w:lineRule="auto"/>
        <w:ind w:left="0" w:leftChars="0" w:firstLine="420" w:firstLineChars="175"/>
        <w:jc w:val="both"/>
        <w:rPr>
          <w:rFonts w:ascii="宋体" w:hAnsi="宋体" w:eastAsia="宋体" w:cs="宋体"/>
          <w:sz w:val="24"/>
          <w:szCs w:val="24"/>
        </w:rPr>
      </w:pPr>
      <w:r>
        <w:rPr>
          <w:rFonts w:ascii="宋体" w:hAnsi="宋体" w:eastAsia="宋体" w:cs="宋体"/>
          <w:sz w:val="24"/>
          <w:szCs w:val="24"/>
        </w:rPr>
        <w:t xml:space="preserve">加强司法与行政协调配合。 完善司法与行政协调机制。地方各级人民政府应积极支持陷入 财务困境、符合破产条件的企业进行重整或破产清算。鼓励地方各 级人民政府建立常态化的司法与行政协调机制，依法发挥政府在企 业破产程序中的作用，协调解决破产过程中维护社会稳定、经费保 障、信用修复、企业注销等问题，同时避免对破产司法事务的不当 干预。（各地方人民政府负责） 明确政府部门破产行政管理职能。在总结完善司法与行政协调 机制实践经验的基础上，进一步明确政府部门承担破产管理人监督 管理、政府各相关部门协调、债权人利益保护、特殊破产案件清算 以及防范恶意逃废债等破产行政管理职责。（各地方人民政府负责） </w:t>
      </w:r>
    </w:p>
    <w:p>
      <w:pPr>
        <w:pStyle w:val="20"/>
        <w:numPr>
          <w:ilvl w:val="0"/>
          <w:numId w:val="5"/>
        </w:numPr>
        <w:spacing w:before="0" w:beforeAutospacing="0" w:after="0" w:afterAutospacing="0" w:line="360" w:lineRule="auto"/>
        <w:ind w:left="0" w:leftChars="0" w:firstLine="420" w:firstLineChars="175"/>
        <w:jc w:val="both"/>
        <w:rPr>
          <w:rFonts w:ascii="宋体" w:hAnsi="宋体" w:eastAsia="宋体" w:cs="宋体"/>
          <w:sz w:val="24"/>
          <w:szCs w:val="24"/>
        </w:rPr>
      </w:pPr>
      <w:r>
        <w:rPr>
          <w:rFonts w:ascii="宋体" w:hAnsi="宋体" w:eastAsia="宋体" w:cs="宋体"/>
          <w:sz w:val="24"/>
          <w:szCs w:val="24"/>
        </w:rPr>
        <w:t xml:space="preserve">加强司法能力及中介机构建设。 加强破产审判能力建设。深化破产审判机制改革，根据各地审 判实践需要，在条件成熟的中级人民法院积极推动组建破产案件专 业审判团队，优化破产案件专业审判团队的职责和内部管理体系。 加强对破产审判专业人员的培训和专业队伍的建设，完善对破产审 判法官的考核机制。（各省级人民政府、最高人民法院等按职责分 工负责） 大力培育破产管理人队伍。进一步细化完善管理人职责，明确 管理人履职过程中发现恶意逃废债等违法行为时依法提请法院移 送侦查的职责，进一步优化破产管理人名册制度、管理人选任机制 和管理人报酬制度，积极开展管理人履职能力培训工作，支持和推动管理人行业自律组织建设，强化对管理人的履职考核和动态监督 管理，督促管理人提高责任意识和履职能力。（国家发展改革委、 最高人民法院等按职责分工负责） </w:t>
      </w:r>
    </w:p>
    <w:p>
      <w:pPr>
        <w:pStyle w:val="20"/>
        <w:numPr>
          <w:ilvl w:val="0"/>
          <w:numId w:val="0"/>
        </w:numPr>
        <w:spacing w:before="0" w:beforeAutospacing="0" w:after="0" w:afterAutospacing="0" w:line="360" w:lineRule="auto"/>
        <w:ind w:leftChars="175"/>
        <w:jc w:val="both"/>
        <w:rPr>
          <w:rFonts w:ascii="宋体" w:hAnsi="宋体" w:eastAsia="宋体" w:cs="宋体"/>
          <w:sz w:val="24"/>
          <w:szCs w:val="24"/>
        </w:rPr>
      </w:pPr>
      <w:r>
        <w:rPr>
          <w:rFonts w:ascii="宋体" w:hAnsi="宋体" w:eastAsia="宋体" w:cs="宋体"/>
          <w:sz w:val="24"/>
          <w:szCs w:val="24"/>
        </w:rPr>
        <w:t xml:space="preserve">五、完善特殊类型市场主体退出和特定领域退出制度 </w:t>
      </w:r>
    </w:p>
    <w:p>
      <w:pPr>
        <w:pStyle w:val="20"/>
        <w:numPr>
          <w:ilvl w:val="0"/>
          <w:numId w:val="0"/>
        </w:numPr>
        <w:spacing w:before="0" w:beforeAutospacing="0" w:after="0" w:afterAutospacing="0" w:line="360" w:lineRule="auto"/>
        <w:ind w:left="-10" w:leftChars="-5" w:firstLine="376" w:firstLineChars="157"/>
        <w:jc w:val="both"/>
        <w:rPr>
          <w:rFonts w:ascii="宋体" w:hAnsi="宋体" w:eastAsia="宋体" w:cs="宋体"/>
          <w:sz w:val="24"/>
          <w:szCs w:val="24"/>
        </w:rPr>
      </w:pPr>
      <w:r>
        <w:rPr>
          <w:rFonts w:ascii="宋体" w:hAnsi="宋体" w:eastAsia="宋体" w:cs="宋体"/>
          <w:sz w:val="24"/>
          <w:szCs w:val="24"/>
        </w:rPr>
        <w:t>（一）建立健全金融机构市场化退出机制。 完善金融机构市场化退出的程序和路径。完善相关法律法规， 明确对问题金融机构退出过程中接管、重组、撤销、破产处置程序 和机制，探索建立金融机构主体依法自主退出机制和多层次退出路 径。及时有效发挥存款保险制度和相关行业保障基金的作用。（财 政部、中国人民银行、中国银保监会、中国证监会等按职责分工负 责） 完善金融机构资产、负债、业务的概括转移制度。依托存款保 险制度和保险保障基金、证券投资者保障基金、信托业保障基金等 相关行业保障基金，进一步完善金融机构强制退出时的储蓄存款合 同、保险合同、证券业务合同、资产管理业务合同、信托财产和信 托事务等各类合同和业务的转移接续。（中国人民银行、中国银保 监会、中国证监会等按职责分工负责） 建立金融机构风险预警及处置机制。明确风险处置的触发条 件，制定退出风险处置预案，丰富风险处置工具箱，建立健全信息 共享机制。完善金融机构市场化退出损失分担机制，明确股东和无 担保债权人应先于公共资金承担损失。（财政部、中国人民银行、 中国银保监会、中国证监会等按职责分工负责）</w:t>
      </w:r>
    </w:p>
    <w:p>
      <w:pPr>
        <w:pStyle w:val="20"/>
        <w:numPr>
          <w:ilvl w:val="0"/>
          <w:numId w:val="0"/>
        </w:numPr>
        <w:spacing w:before="0" w:beforeAutospacing="0" w:after="0" w:afterAutospacing="0" w:line="360" w:lineRule="auto"/>
        <w:ind w:left="8" w:leftChars="0" w:firstLine="360" w:firstLineChars="150"/>
        <w:jc w:val="both"/>
        <w:rPr>
          <w:rFonts w:ascii="宋体" w:hAnsi="宋体" w:eastAsia="宋体" w:cs="宋体"/>
          <w:sz w:val="24"/>
          <w:szCs w:val="24"/>
        </w:rPr>
      </w:pPr>
      <w:r>
        <w:rPr>
          <w:rFonts w:ascii="宋体" w:hAnsi="宋体" w:eastAsia="宋体" w:cs="宋体"/>
          <w:sz w:val="24"/>
          <w:szCs w:val="24"/>
        </w:rPr>
        <w:t xml:space="preserve">（二）完善国有企业退出机制。 推动国有“僵尸企业”破产退出。对符合破产等退出条件的国 有企业，各相关方不得以任何方式阻碍其退出，防止形成“僵尸企 业”。不得通过违规提供政府补贴、贷款等方式维系“僵尸企业” 生存，有效解决国有“僵尸企业”不愿退出的问题。国有企业退出 时，金融机构等债权人不得要求政府承担超出出资额之外的债务清 偿责任。（各地方人民政府、最高人民法院、国家发展改革委、财 政部、中国人民银行、国务院国资委、中国银保监会等按职责分工 负责） 完善特殊类型国有企业退出制度。针对全民所有制企业、厂办 集体企业存在的出资人已注销、工商登记出资人与实际控制人不 符、账务账册资料严重缺失等问题，明确市场退出相关规定，加快 推动符合条件企业退出市场，必要时通过强制清算等方式实行强制 退出。（国务院国资委、国家发展改革委牵头，有关部门按职责分 工负责） </w:t>
      </w:r>
    </w:p>
    <w:p>
      <w:pPr>
        <w:pStyle w:val="20"/>
        <w:numPr>
          <w:ilvl w:val="0"/>
          <w:numId w:val="0"/>
        </w:numPr>
        <w:spacing w:before="0" w:beforeAutospacing="0" w:after="0" w:afterAutospacing="0" w:line="360" w:lineRule="auto"/>
        <w:ind w:left="8" w:leftChars="0" w:firstLine="360" w:firstLineChars="150"/>
        <w:jc w:val="both"/>
        <w:rPr>
          <w:rFonts w:ascii="宋体" w:hAnsi="宋体" w:eastAsia="宋体" w:cs="宋体"/>
          <w:sz w:val="24"/>
          <w:szCs w:val="24"/>
        </w:rPr>
      </w:pPr>
      <w:r>
        <w:rPr>
          <w:rFonts w:ascii="宋体" w:hAnsi="宋体" w:eastAsia="宋体" w:cs="宋体"/>
          <w:sz w:val="24"/>
          <w:szCs w:val="24"/>
        </w:rPr>
        <w:t xml:space="preserve">（三）健全非营利法人和非法人组织等退出机制。 进一步细化非营利法人、非法人组织解散清算制度，推动非营 利法人、非法人组织及时注销。参考企业法人破产制度，推动建立 非营利法人、农民专业合作社、合伙企业等非法人组织破产制度。 （最高人民法院、市场监管总局、民政部等按职责分工负责） </w:t>
      </w:r>
    </w:p>
    <w:p>
      <w:pPr>
        <w:pStyle w:val="20"/>
        <w:numPr>
          <w:ilvl w:val="0"/>
          <w:numId w:val="0"/>
        </w:numPr>
        <w:spacing w:before="0" w:beforeAutospacing="0" w:after="0" w:afterAutospacing="0" w:line="360" w:lineRule="auto"/>
        <w:ind w:left="8" w:leftChars="0" w:firstLine="360" w:firstLineChars="150"/>
        <w:jc w:val="both"/>
        <w:rPr>
          <w:rFonts w:ascii="宋体" w:hAnsi="宋体" w:eastAsia="宋体" w:cs="宋体"/>
          <w:sz w:val="24"/>
          <w:szCs w:val="24"/>
        </w:rPr>
      </w:pPr>
      <w:r>
        <w:rPr>
          <w:rFonts w:ascii="宋体" w:hAnsi="宋体" w:eastAsia="宋体" w:cs="宋体"/>
          <w:sz w:val="24"/>
          <w:szCs w:val="24"/>
        </w:rPr>
        <w:t xml:space="preserve">（四）完善特定领域退出机制。 规范特定领域退出程序。建立政策成本效益和成本有效性分析制度，审慎评估因公共利益而要求经营者退出特定生产或业务领域 的必要性，按照比例原则以成本最小化的方式达成政策目标，尽量 避免影响市场主体正常生产经营活动。（国家发展改革委、工业和 信息化部、中国人民银行、中国银保监会等按职责分工负责） 完善特定领域依法退出机制。对竞争性领域，审慎使用强制退 出方式，主要通过激励性措施引导实现特定领域退出；因公共利益 确需强制退出的，应依法建立补偿机制，保障退出市场主体和其利 益相关方的合法权益。对垄断性行业和其他实行许可管理的行业， 应在行业监管规则中明确经营者退出标准，并定期开展审查，经营 者达到退出标准的，应依法退出特定生产或业务领域；行业监管规 则中应同时明确因公共利益需退出的事由、程序和补偿标准，作为 经营者准入条件，当事由出现时，应按法定程序退出并按标准进行 补偿。（国家发展改革委、工业和信息化部、中国人民银行、中国 银保监会等按职责分工负责） </w:t>
      </w:r>
    </w:p>
    <w:p>
      <w:pPr>
        <w:pStyle w:val="20"/>
        <w:numPr>
          <w:ilvl w:val="0"/>
          <w:numId w:val="0"/>
        </w:numPr>
        <w:spacing w:before="0" w:beforeAutospacing="0" w:after="0" w:afterAutospacing="0" w:line="360" w:lineRule="auto"/>
        <w:ind w:left="8" w:leftChars="0" w:firstLine="360" w:firstLineChars="150"/>
        <w:jc w:val="both"/>
        <w:rPr>
          <w:rFonts w:ascii="宋体" w:hAnsi="宋体" w:eastAsia="宋体" w:cs="宋体"/>
          <w:sz w:val="24"/>
          <w:szCs w:val="24"/>
        </w:rPr>
      </w:pPr>
      <w:r>
        <w:rPr>
          <w:rFonts w:ascii="宋体" w:hAnsi="宋体" w:eastAsia="宋体" w:cs="宋体"/>
          <w:sz w:val="24"/>
          <w:szCs w:val="24"/>
        </w:rPr>
        <w:t xml:space="preserve">六、健全市场主体退出甄别和预警机制 </w:t>
      </w:r>
    </w:p>
    <w:p>
      <w:pPr>
        <w:pStyle w:val="20"/>
        <w:numPr>
          <w:ilvl w:val="0"/>
          <w:numId w:val="0"/>
        </w:numPr>
        <w:spacing w:before="0" w:beforeAutospacing="0" w:after="0" w:afterAutospacing="0" w:line="360" w:lineRule="auto"/>
        <w:ind w:left="8" w:leftChars="0" w:firstLine="360" w:firstLineChars="150"/>
        <w:jc w:val="both"/>
        <w:rPr>
          <w:rFonts w:ascii="宋体" w:hAnsi="宋体" w:eastAsia="宋体" w:cs="宋体"/>
          <w:sz w:val="24"/>
          <w:szCs w:val="24"/>
        </w:rPr>
      </w:pPr>
      <w:r>
        <w:rPr>
          <w:rFonts w:ascii="宋体" w:hAnsi="宋体" w:eastAsia="宋体" w:cs="宋体"/>
          <w:sz w:val="24"/>
          <w:szCs w:val="24"/>
        </w:rPr>
        <w:t xml:space="preserve">（一）完善市场主体优劣甄别机制。 加强社会信用体系建设。大力弘扬诚信文化，使市场主体树立 守法诚实经营理念，自觉遵守商业道德，加强守信联合激励和失信 联合惩戒等机制建设，使守信者处处畅通、失信者寸步难行。（国 家发展改革委、中国人民银行牵头负责） 完善竞争政策。加强对实施垄断、开展不正当竞争行为的监管， 严格依法查处各类垄断行为和滥用行政权力排除、限制竞争行为， 提高市场竞争的充分性与公平性。（市场监管总局牵头负责） 规范产业政策。针对市场不能有效发挥作用的领域制定有关政 策规定，突出功能性、预测性，审慎使用可能造成市场扭曲的政策 工具，对出台涉及市场主体经济活动的政策措施，严格进行公平竞 争审查，完善市场竞争环境和营商环境，防止由政府越位和过度干 预造成逆向选择。（国家发展改革委、工业和信息化部、市场监管 总局等按职责分工负责） </w:t>
      </w:r>
    </w:p>
    <w:p>
      <w:pPr>
        <w:pStyle w:val="20"/>
        <w:numPr>
          <w:ilvl w:val="0"/>
          <w:numId w:val="0"/>
        </w:numPr>
        <w:spacing w:before="0" w:beforeAutospacing="0" w:after="0" w:afterAutospacing="0" w:line="360" w:lineRule="auto"/>
        <w:ind w:left="8" w:leftChars="0" w:firstLine="360" w:firstLineChars="150"/>
        <w:jc w:val="both"/>
        <w:rPr>
          <w:rFonts w:ascii="宋体" w:hAnsi="宋体" w:eastAsia="宋体" w:cs="宋体"/>
          <w:sz w:val="24"/>
          <w:szCs w:val="24"/>
        </w:rPr>
      </w:pPr>
      <w:r>
        <w:rPr>
          <w:rFonts w:ascii="宋体" w:hAnsi="宋体" w:eastAsia="宋体" w:cs="宋体"/>
          <w:sz w:val="24"/>
          <w:szCs w:val="24"/>
        </w:rPr>
        <w:t xml:space="preserve">（二）建立市场主体退出预警机制。 强化企业信息披露义务。提高企业财务和经营信息透明度，强 化信息披露义务主体对信息披露真实性、准确性、完整性的责任要 求。公众公司应依法向公众披露财务和经营信息。非公众公司应及 时向股东和债权人披露财务和经营信息。鼓励非公众公司特别是大 型企业集团、国有企业参照公众公司要求公开相关信息。强化企业 在陷入财务困境时及时向股东、债权人等利益相关方的信息披露义 务。（各地方人民政府、国家发展改革委、中国人民银行、市场监 管总局、国务院国资委、中国银保监会、中国证监会等按职责分工 负责） 建立企业信用综合评价机制。推动信用评级行业规范健康发 展，支持信用评级机构开展企业综合信用评价。鼓励引导有关行业 主管部门、行业协会商会、高等院校、科研机构以及信息中介机构 研究建立反映市场主体财务状况和经营效率的评价指标。（国家发 展改革委、中国人民银行牵头负责）建立企业债务风险监测预警机制。依托全国信用信息共享平 台、国家企业信用信息公示系统和金融信用信息基础数据库、失信 被执行人数据库等信用信息平台，整合相关数据信息，加强对一定 债务规模以上企业债务风险的监测，加快一定债务规模以上企业的 负债、担保、涉诉等信息在一定范围内依法公开和部门间共享，鼓 励企业自主对外披露更多利于债务风险判断的信息。（国家发展改 革委牵头，最高人民法院、中国人民银行、市场监管总局、中国银 保监会等按职责分工负责） 建立自然人债务风险监测预警机制。加强对居民部门债务水平 和债务结构的分析监测，完善自然人债务风险评价指标和预警机 制，建立社会公众财务风险管理及理财能力教育培训机制，防范自 然人过度负债风险，处理好债权人权益保护与债务人生存权保护之 间的关系。（国家发展改革委、中国人民银行、中国银保监会等按 职责分工负责） </w:t>
      </w:r>
    </w:p>
    <w:p>
      <w:pPr>
        <w:pStyle w:val="20"/>
        <w:numPr>
          <w:ilvl w:val="0"/>
          <w:numId w:val="0"/>
        </w:numPr>
        <w:spacing w:before="0" w:beforeAutospacing="0" w:after="0" w:afterAutospacing="0" w:line="360" w:lineRule="auto"/>
        <w:ind w:left="8" w:leftChars="0" w:firstLine="360" w:firstLineChars="150"/>
        <w:jc w:val="both"/>
        <w:rPr>
          <w:rFonts w:ascii="宋体" w:hAnsi="宋体" w:eastAsia="宋体" w:cs="宋体"/>
          <w:sz w:val="24"/>
          <w:szCs w:val="24"/>
        </w:rPr>
      </w:pPr>
      <w:r>
        <w:rPr>
          <w:rFonts w:ascii="宋体" w:hAnsi="宋体" w:eastAsia="宋体" w:cs="宋体"/>
          <w:sz w:val="24"/>
          <w:szCs w:val="24"/>
        </w:rPr>
        <w:t xml:space="preserve">七、完善市场主体退出关联权益保障机制 </w:t>
      </w:r>
    </w:p>
    <w:p>
      <w:pPr>
        <w:pStyle w:val="20"/>
        <w:numPr>
          <w:ilvl w:val="0"/>
          <w:numId w:val="0"/>
        </w:numPr>
        <w:spacing w:before="0" w:beforeAutospacing="0" w:after="0" w:afterAutospacing="0" w:line="360" w:lineRule="auto"/>
        <w:ind w:left="8" w:leftChars="0" w:firstLine="360" w:firstLineChars="150"/>
        <w:jc w:val="both"/>
        <w:rPr>
          <w:rFonts w:ascii="宋体" w:hAnsi="宋体" w:eastAsia="宋体" w:cs="宋体"/>
          <w:sz w:val="24"/>
          <w:szCs w:val="24"/>
        </w:rPr>
      </w:pPr>
      <w:r>
        <w:rPr>
          <w:rFonts w:ascii="宋体" w:hAnsi="宋体" w:eastAsia="宋体" w:cs="宋体"/>
          <w:sz w:val="24"/>
          <w:szCs w:val="24"/>
        </w:rPr>
        <w:t>（一）建立健全社会安全网。 指导退出企业做好劳动关系处理，积极稳妥解决社会保险关系 转移接续、拖欠职工工资等问题，切实保障退出企业职工的合法权 益。（各地方人民政府、人力资源和社会保障部等按职责分工负责）</w:t>
      </w:r>
    </w:p>
    <w:p>
      <w:pPr>
        <w:pStyle w:val="20"/>
        <w:numPr>
          <w:ilvl w:val="0"/>
          <w:numId w:val="0"/>
        </w:numPr>
        <w:spacing w:before="0" w:beforeAutospacing="0" w:after="0" w:afterAutospacing="0" w:line="360" w:lineRule="auto"/>
        <w:ind w:left="8" w:leftChars="0" w:firstLine="360" w:firstLineChars="150"/>
        <w:jc w:val="both"/>
        <w:rPr>
          <w:rFonts w:ascii="宋体" w:hAnsi="宋体" w:eastAsia="宋体" w:cs="宋体"/>
          <w:sz w:val="24"/>
          <w:szCs w:val="24"/>
        </w:rPr>
      </w:pPr>
      <w:r>
        <w:rPr>
          <w:rFonts w:ascii="宋体" w:hAnsi="宋体" w:eastAsia="宋体" w:cs="宋体"/>
          <w:sz w:val="24"/>
          <w:szCs w:val="24"/>
        </w:rPr>
        <w:t xml:space="preserve"> （二）依法保护金融债权人利益。 明确金融债权人委员会法律地位。推动银行、证券、保险、信 托等领域的金融债权人组建相对统一的金融债权人委员会。明确金融债权人委员会的法律地位、议事规则和程序，通过统一的金融债 权人委员会加强与债务人的沟通协调，避免金融债务过度累积，防 范恶意逃废债，有效监控债务风险，维护金融债权人合法权益。（中国银保监会牵头，中国人民银行、国家发展改革委、中国证监会等 按职责分工负责） 促进金融债权人积极推动市场主体退出。鼓励银行、证券、保 险、信托等领域的金融债权人积极参与破产程序，支持金融债权人 加强对企业等市场主体债务风险的监测，推动金融债权人积极化解 市场主体债务风险，促进市场主体及时出清。（中国银保监会牵头， 中国人民银行、国家发展改革委、中国证监会等按职责分工负责）</w:t>
      </w:r>
    </w:p>
    <w:p>
      <w:pPr>
        <w:pStyle w:val="20"/>
        <w:numPr>
          <w:ilvl w:val="0"/>
          <w:numId w:val="0"/>
        </w:numPr>
        <w:spacing w:before="0" w:beforeAutospacing="0" w:after="0" w:afterAutospacing="0" w:line="360" w:lineRule="auto"/>
        <w:ind w:left="8" w:leftChars="0" w:firstLine="360" w:firstLineChars="150"/>
        <w:jc w:val="both"/>
        <w:rPr>
          <w:rFonts w:ascii="宋体" w:hAnsi="宋体" w:eastAsia="宋体" w:cs="宋体"/>
          <w:sz w:val="24"/>
          <w:szCs w:val="24"/>
        </w:rPr>
      </w:pPr>
      <w:r>
        <w:rPr>
          <w:rFonts w:ascii="宋体" w:hAnsi="宋体" w:eastAsia="宋体" w:cs="宋体"/>
          <w:sz w:val="24"/>
          <w:szCs w:val="24"/>
        </w:rPr>
        <w:t xml:space="preserve"> （三）切实防范国有资产流失。 按照市场化法治化原则，完善国有资产价值发现和监督机制， 进一步健全完善国有资产流失责任认定及追究制度，规范国有资产 登记、转让、清算、退出等程序和交易行为，发挥专业化中介机构 作用，涉及资产评估的，应当依法履行资产评估程序。在市场主体 退出过程中，坚持国有资产市场化定价原则，鼓励通过产权、股权、 证券市场发现和合理确定资产价格，促进国有资产保值增值。优化 国有资产退出审批机制和程序，提高审批效率，强化信息公开，加 强社会监督，防止因内部人控制、利益输送等造成国有资产流失。 （各地方人民政府、财政部、国务院国资委等按职责分工负责） </w:t>
      </w:r>
    </w:p>
    <w:p>
      <w:pPr>
        <w:pStyle w:val="20"/>
        <w:numPr>
          <w:ilvl w:val="0"/>
          <w:numId w:val="0"/>
        </w:numPr>
        <w:spacing w:before="0" w:beforeAutospacing="0" w:after="0" w:afterAutospacing="0" w:line="360" w:lineRule="auto"/>
        <w:ind w:left="8" w:leftChars="0" w:firstLine="360" w:firstLineChars="150"/>
        <w:jc w:val="both"/>
        <w:rPr>
          <w:rFonts w:ascii="宋体" w:hAnsi="宋体" w:eastAsia="宋体" w:cs="宋体"/>
          <w:sz w:val="24"/>
          <w:szCs w:val="24"/>
        </w:rPr>
      </w:pPr>
      <w:r>
        <w:rPr>
          <w:rFonts w:ascii="宋体" w:hAnsi="宋体" w:eastAsia="宋体" w:cs="宋体"/>
          <w:sz w:val="24"/>
          <w:szCs w:val="24"/>
        </w:rPr>
        <w:t>八、完善市场主体退出配套政策</w:t>
      </w:r>
    </w:p>
    <w:p>
      <w:pPr>
        <w:pStyle w:val="20"/>
        <w:numPr>
          <w:ilvl w:val="0"/>
          <w:numId w:val="0"/>
        </w:numPr>
        <w:spacing w:before="0" w:beforeAutospacing="0" w:after="0" w:afterAutospacing="0" w:line="360" w:lineRule="auto"/>
        <w:ind w:left="8" w:leftChars="0" w:firstLine="360" w:firstLineChars="150"/>
        <w:jc w:val="both"/>
        <w:rPr>
          <w:rFonts w:ascii="宋体" w:hAnsi="宋体" w:eastAsia="宋体" w:cs="宋体"/>
          <w:sz w:val="24"/>
          <w:szCs w:val="24"/>
        </w:rPr>
      </w:pPr>
      <w:r>
        <w:rPr>
          <w:rFonts w:ascii="宋体" w:hAnsi="宋体" w:eastAsia="宋体" w:cs="宋体"/>
          <w:sz w:val="24"/>
          <w:szCs w:val="24"/>
        </w:rPr>
        <w:t xml:space="preserve"> （一）完善信用记录与信用修复制度。 完善重整企业信用修复机制。进一步健全和完善相关制度，使 重整成功的企业不再被纳入金融、税务、市场监管、司法等系统的 黑名单，实现企业信用重建。（国家发展改革委、中国人民银行牵 头负责，最高人民法院、市场监管总局、税务总局等按职责分工负 责） 完善市场主体退出责任人信用记录机制。对市场主体退出过程 中恶意逃废债特别是恶意逃废职工债务、过失导致国有资产流失、 未按规定及时履行清算义务等违法违规行为责任人，建立信用记 录，纳入全国信用信息共享平台、国家企业信用信息公示系统和金 融信用信息基础数据库。建立直接责任人员失信行为联合惩戒机 制。结合自然人破产制度建设，建立健全自然人破产信用记录及信 用修复制度，形成以信用为核心的自然人市场行为正向激励约束机 制。（国家发展改革委、中国人民银行牵头，最高人民法院、市场 监管总局、税务总局、中国银保监会等按职责分工负责） </w:t>
      </w:r>
    </w:p>
    <w:p>
      <w:pPr>
        <w:pStyle w:val="20"/>
        <w:numPr>
          <w:ilvl w:val="0"/>
          <w:numId w:val="0"/>
        </w:numPr>
        <w:spacing w:before="0" w:beforeAutospacing="0" w:after="0" w:afterAutospacing="0" w:line="360" w:lineRule="auto"/>
        <w:ind w:left="8" w:leftChars="0" w:firstLine="360" w:firstLineChars="150"/>
        <w:jc w:val="both"/>
        <w:rPr>
          <w:rFonts w:ascii="宋体" w:hAnsi="宋体" w:eastAsia="宋体" w:cs="宋体"/>
          <w:sz w:val="24"/>
          <w:szCs w:val="24"/>
        </w:rPr>
      </w:pPr>
      <w:r>
        <w:rPr>
          <w:rFonts w:ascii="宋体" w:hAnsi="宋体" w:eastAsia="宋体" w:cs="宋体"/>
          <w:sz w:val="24"/>
          <w:szCs w:val="24"/>
        </w:rPr>
        <w:t xml:space="preserve">（二）完善市场主体退出相关财政税收政策。 优化企业破产重整税收政策环境。梳理企业破产重整税收支持 政策，做好政策宣传解读工作，落实好亏损弥补和特殊性税务处理 等税收政策，为企业破产重整营造良好环境。（财政部牵头，税务 总局按职责分工负责） 探索研究破产经费筹措机制。鼓励有条件的地方探索建立破产 经费筹措机制，对破产财产不足以支付破产费用的市场主体，可通 过筹措经费帮助支付有关费用。（各地方人民政府牵头负责） </w:t>
      </w:r>
    </w:p>
    <w:p>
      <w:pPr>
        <w:pStyle w:val="20"/>
        <w:numPr>
          <w:ilvl w:val="0"/>
          <w:numId w:val="0"/>
        </w:numPr>
        <w:spacing w:before="0" w:beforeAutospacing="0" w:after="0" w:afterAutospacing="0" w:line="360" w:lineRule="auto"/>
        <w:ind w:left="8" w:leftChars="0" w:firstLine="360" w:firstLineChars="150"/>
        <w:jc w:val="both"/>
        <w:rPr>
          <w:rFonts w:ascii="宋体" w:hAnsi="宋体" w:eastAsia="宋体" w:cs="宋体"/>
          <w:sz w:val="24"/>
          <w:szCs w:val="24"/>
        </w:rPr>
      </w:pPr>
      <w:r>
        <w:rPr>
          <w:rFonts w:ascii="宋体" w:hAnsi="宋体" w:eastAsia="宋体" w:cs="宋体"/>
          <w:sz w:val="24"/>
          <w:szCs w:val="24"/>
        </w:rPr>
        <w:t xml:space="preserve">（三）完善市场主体退出资产资源优化利用制度。 构建多元化资产流转平台。引导各类资产进入产权交易市场， 充分发挥产权交易市场的价格发现、价值实现功能，为市场主体退 出过程中资产流转和变现创造良好市场基础。（各地方人民政府、 国家发展改革委、国务院国资委、中国证监会等按职责分工负责） 完善市场主体退出涉及的市场交易制度。依法支持上市公司通 过并购重组实现退出。依法支持重整上市公司通过重大资产交易安 排、股份发行等方式开展融资，规范上市公司股东减持行为。完善 上市公司退市监管制度，畅通市场主体的上市和退市渠道。（中国 证监会、最高人民法院牵头负责） </w:t>
      </w:r>
    </w:p>
    <w:p>
      <w:pPr>
        <w:pStyle w:val="20"/>
        <w:numPr>
          <w:ilvl w:val="0"/>
          <w:numId w:val="0"/>
        </w:numPr>
        <w:spacing w:before="0" w:beforeAutospacing="0" w:after="0" w:afterAutospacing="0" w:line="360" w:lineRule="auto"/>
        <w:ind w:left="8" w:leftChars="0" w:firstLine="360" w:firstLineChars="150"/>
        <w:jc w:val="both"/>
        <w:rPr>
          <w:rFonts w:ascii="宋体" w:hAnsi="宋体" w:eastAsia="宋体" w:cs="宋体"/>
          <w:sz w:val="24"/>
          <w:szCs w:val="24"/>
        </w:rPr>
      </w:pPr>
      <w:r>
        <w:rPr>
          <w:rFonts w:ascii="宋体" w:hAnsi="宋体" w:eastAsia="宋体" w:cs="宋体"/>
          <w:sz w:val="24"/>
          <w:szCs w:val="24"/>
        </w:rPr>
        <w:t xml:space="preserve">（四）健全社会公示和监督制度。 健全社会公示。依托全国信用信息共享平台、国家企业信用信 息公示系统，建立健全市场主体主动注销和强制退出的公告、异议 等制度。推进部门共享市场主体退出相关信息，完善市场主体退出 公示制度和退出后相关责任人失信惩戒记录公示制度。（国家发展 改革委、市场监管总局牵头负责） 推动社会监督。对不依法办理注销登记的市场主体、被吊销营 业执照的市场主体以及不依法清算的市场主体，依法及时向社会公 示，接受社会监督。（国家发展改革委、民政部、市场监管总局等 按职责分工负责） </w:t>
      </w:r>
    </w:p>
    <w:p>
      <w:pPr>
        <w:pStyle w:val="20"/>
        <w:numPr>
          <w:ilvl w:val="0"/>
          <w:numId w:val="0"/>
        </w:numPr>
        <w:spacing w:before="0" w:beforeAutospacing="0" w:after="0" w:afterAutospacing="0" w:line="360" w:lineRule="auto"/>
        <w:ind w:left="8" w:leftChars="0" w:firstLine="360" w:firstLineChars="150"/>
        <w:jc w:val="both"/>
        <w:rPr>
          <w:rFonts w:ascii="宋体" w:hAnsi="宋体" w:eastAsia="宋体" w:cs="宋体"/>
          <w:sz w:val="24"/>
          <w:szCs w:val="24"/>
        </w:rPr>
      </w:pPr>
      <w:r>
        <w:rPr>
          <w:rFonts w:ascii="宋体" w:hAnsi="宋体" w:eastAsia="宋体" w:cs="宋体"/>
          <w:sz w:val="24"/>
          <w:szCs w:val="24"/>
        </w:rPr>
        <w:t xml:space="preserve">九、组织实施 </w:t>
      </w:r>
    </w:p>
    <w:p>
      <w:pPr>
        <w:pStyle w:val="20"/>
        <w:numPr>
          <w:ilvl w:val="0"/>
          <w:numId w:val="0"/>
        </w:numPr>
        <w:spacing w:before="0" w:beforeAutospacing="0" w:after="0" w:afterAutospacing="0" w:line="360" w:lineRule="auto"/>
        <w:ind w:left="8" w:leftChars="0" w:firstLine="360" w:firstLineChars="150"/>
        <w:jc w:val="both"/>
        <w:rPr>
          <w:rFonts w:ascii="宋体" w:hAnsi="宋体" w:eastAsia="宋体" w:cs="宋体"/>
          <w:sz w:val="24"/>
          <w:szCs w:val="24"/>
        </w:rPr>
      </w:pPr>
      <w:r>
        <w:rPr>
          <w:rFonts w:ascii="宋体" w:hAnsi="宋体" w:eastAsia="宋体" w:cs="宋体"/>
          <w:sz w:val="24"/>
          <w:szCs w:val="24"/>
        </w:rPr>
        <w:t xml:space="preserve">（一）加强党的领导。各地区、各部门要充分认识完善市场主 16 体退出制度的重要意义，增强“四个意识”，坚定“四个自信”，做 到“两个维护”，认真落实党中央、国务院有关决策部署，加快完 善市场主体退出制度，促进市场主体优胜劣汰和资源优化配置。 </w:t>
      </w:r>
    </w:p>
    <w:p>
      <w:pPr>
        <w:pStyle w:val="20"/>
        <w:numPr>
          <w:ilvl w:val="0"/>
          <w:numId w:val="0"/>
        </w:numPr>
        <w:spacing w:before="0" w:beforeAutospacing="0" w:after="0" w:afterAutospacing="0" w:line="360" w:lineRule="auto"/>
        <w:ind w:left="8" w:leftChars="0" w:firstLine="360" w:firstLineChars="150"/>
        <w:jc w:val="both"/>
        <w:rPr>
          <w:rFonts w:ascii="宋体" w:hAnsi="宋体" w:eastAsia="宋体" w:cs="宋体"/>
          <w:sz w:val="24"/>
          <w:szCs w:val="24"/>
        </w:rPr>
      </w:pPr>
      <w:r>
        <w:rPr>
          <w:rFonts w:ascii="宋体" w:hAnsi="宋体" w:eastAsia="宋体" w:cs="宋体"/>
          <w:sz w:val="24"/>
          <w:szCs w:val="24"/>
        </w:rPr>
        <w:t>（二）完善法律体系。市场主体退出制度体系涉及多领域法律 法规，要及时启动各相关领域法律法规的立法修订程序，切实形成 协同一致、相互支撑的法律体系，为市场主体依法退出提供充分的 法律保障。</w:t>
      </w:r>
    </w:p>
    <w:p>
      <w:pPr>
        <w:pStyle w:val="20"/>
        <w:numPr>
          <w:ilvl w:val="0"/>
          <w:numId w:val="0"/>
        </w:numPr>
        <w:spacing w:before="0" w:beforeAutospacing="0" w:after="0" w:afterAutospacing="0" w:line="360" w:lineRule="auto"/>
        <w:ind w:left="8" w:leftChars="0" w:firstLine="360" w:firstLineChars="150"/>
        <w:jc w:val="both"/>
        <w:rPr>
          <w:rFonts w:hint="eastAsia"/>
          <w:b w:val="0"/>
          <w:bCs w:val="0"/>
          <w:sz w:val="21"/>
          <w:szCs w:val="21"/>
          <w:lang w:val="en-US" w:eastAsia="zh-CN"/>
        </w:rPr>
      </w:pPr>
      <w:r>
        <w:rPr>
          <w:rFonts w:ascii="宋体" w:hAnsi="宋体" w:eastAsia="宋体" w:cs="宋体"/>
          <w:sz w:val="24"/>
          <w:szCs w:val="24"/>
        </w:rPr>
        <w:t xml:space="preserve"> （三）落实工作责任。国家发展改革委要做好统筹协调工作， 各地区、各部门要按照职能划分，抓紧落实改革方案，拟定工作计 划，确保相关改革事项按时完成。</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p>
    <w:p>
      <w:pPr>
        <w:pStyle w:val="20"/>
        <w:spacing w:before="0" w:beforeAutospacing="0" w:after="0" w:afterAutospacing="0" w:line="360" w:lineRule="auto"/>
        <w:ind w:left="0" w:leftChars="0" w:firstLine="420" w:firstLineChars="200"/>
        <w:jc w:val="both"/>
        <w:rPr>
          <w:rFonts w:hint="default"/>
          <w:b w:val="0"/>
          <w:bCs w:val="0"/>
          <w:sz w:val="21"/>
          <w:szCs w:val="21"/>
          <w:lang w:val="en-US" w:eastAsia="zh-CN"/>
        </w:rPr>
      </w:pPr>
    </w:p>
    <w:p>
      <w:pPr>
        <w:pStyle w:val="20"/>
        <w:spacing w:before="0" w:beforeAutospacing="0" w:after="0" w:afterAutospacing="0" w:line="360" w:lineRule="auto"/>
        <w:ind w:left="0" w:leftChars="0" w:firstLine="420" w:firstLineChars="200"/>
        <w:jc w:val="both"/>
        <w:rPr>
          <w:rFonts w:hint="default"/>
          <w:b w:val="0"/>
          <w:bCs w:val="0"/>
          <w:sz w:val="21"/>
          <w:szCs w:val="21"/>
          <w:lang w:val="en-US" w:eastAsia="zh-CN"/>
        </w:rPr>
      </w:pPr>
    </w:p>
    <w:p>
      <w:pPr>
        <w:keepNext w:val="0"/>
        <w:keepLines w:val="0"/>
        <w:widowControl/>
        <w:suppressLineNumbers w:val="0"/>
        <w:spacing w:line="432" w:lineRule="auto"/>
        <w:jc w:val="center"/>
        <w:outlineLvl w:val="1"/>
        <w:rPr>
          <w:rFonts w:hint="eastAsia" w:ascii="宋体" w:hAnsi="宋体" w:eastAsia="宋体" w:cs="宋体"/>
          <w:b/>
          <w:color w:val="auto"/>
          <w:sz w:val="30"/>
          <w:szCs w:val="30"/>
        </w:rPr>
      </w:pPr>
      <w:bookmarkStart w:id="169" w:name="_Toc18047"/>
      <w:r>
        <w:rPr>
          <w:rFonts w:hint="eastAsia" w:ascii="宋体" w:hAnsi="宋体" w:eastAsia="宋体" w:cs="宋体"/>
          <w:b/>
          <w:color w:val="auto"/>
          <w:kern w:val="0"/>
          <w:sz w:val="30"/>
          <w:szCs w:val="30"/>
          <w:lang w:val="en-US" w:eastAsia="zh-CN" w:bidi="ar"/>
        </w:rPr>
        <w:t>关于继续实施全国中小企业股份转让系统挂牌公司</w:t>
      </w:r>
      <w:r>
        <w:rPr>
          <w:rFonts w:hint="eastAsia" w:ascii="宋体" w:hAnsi="宋体" w:eastAsia="宋体" w:cs="宋体"/>
          <w:b/>
          <w:color w:val="auto"/>
          <w:kern w:val="0"/>
          <w:sz w:val="30"/>
          <w:szCs w:val="30"/>
          <w:lang w:val="en-US" w:eastAsia="zh-CN" w:bidi="ar"/>
        </w:rPr>
        <w:br w:type="textWrapping"/>
      </w:r>
      <w:r>
        <w:rPr>
          <w:rFonts w:hint="eastAsia" w:ascii="宋体" w:hAnsi="宋体" w:eastAsia="宋体" w:cs="宋体"/>
          <w:b/>
          <w:color w:val="auto"/>
          <w:kern w:val="0"/>
          <w:sz w:val="30"/>
          <w:szCs w:val="30"/>
          <w:lang w:val="en-US" w:eastAsia="zh-CN" w:bidi="ar"/>
        </w:rPr>
        <w:t>股息红利差别化个人所得税政策的公告</w:t>
      </w:r>
      <w:bookmarkEnd w:id="169"/>
      <w:r>
        <w:rPr>
          <w:rFonts w:hint="eastAsia" w:ascii="宋体" w:hAnsi="宋体" w:eastAsia="宋体" w:cs="宋体"/>
          <w:b/>
          <w:color w:val="auto"/>
          <w:kern w:val="0"/>
          <w:sz w:val="30"/>
          <w:szCs w:val="30"/>
          <w:lang w:val="en-US" w:eastAsia="zh-CN" w:bidi="ar"/>
        </w:rPr>
        <w:t xml:space="preserve"> </w:t>
      </w:r>
    </w:p>
    <w:p>
      <w:pPr>
        <w:pStyle w:val="20"/>
        <w:keepNext w:val="0"/>
        <w:keepLines w:val="0"/>
        <w:widowControl/>
        <w:suppressLineNumbers w:val="0"/>
        <w:spacing w:after="210" w:afterAutospacing="0" w:line="22" w:lineRule="atLeast"/>
        <w:jc w:val="center"/>
        <w:outlineLvl w:val="1"/>
        <w:rPr>
          <w:rFonts w:hint="eastAsia" w:ascii="宋体" w:hAnsi="宋体" w:eastAsia="宋体" w:cs="宋体"/>
          <w:b w:val="0"/>
          <w:bCs w:val="0"/>
          <w:sz w:val="24"/>
          <w:szCs w:val="24"/>
        </w:rPr>
      </w:pPr>
      <w:bookmarkStart w:id="170" w:name="_Toc20142"/>
      <w:r>
        <w:rPr>
          <w:rStyle w:val="24"/>
          <w:rFonts w:hint="eastAsia" w:ascii="宋体" w:hAnsi="宋体" w:eastAsia="宋体" w:cs="宋体"/>
          <w:b w:val="0"/>
          <w:bCs w:val="0"/>
          <w:sz w:val="24"/>
          <w:szCs w:val="24"/>
        </w:rPr>
        <w:t>财政部 税务总局 证监会公告2019年第78号</w:t>
      </w:r>
      <w:bookmarkEnd w:id="170"/>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现就继续实施全国中小企业股份转让系统挂牌公司（以下简称挂牌公司）股息红利差别化个人所得税政策公告如下：</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一、个人持有挂牌公司的股票，持股期限超过1年的，对股息红利所得暂免征收个人所得税。</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个人持有挂牌公司的股票，持股期限在1个月以内（含1个月）的，其股息红利所得全额计入应纳税所得额；持股期限在1个月以上至1年（含1年）的，其股息红利所得暂减按50%计入应纳税所得额；上述所得统一适用20%的税率计征个人所得税。</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本公告所称挂牌公司是指股票在全国中小企业股份转让系统公开转让的非上市公众公司；持股期限是指个人取得挂牌公司股票之日至转让交割该股票之日前一日的持有时间。</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二、挂牌公司派发股息红利时，对截至股权登记日个人持股1年以内（含1年）且尚未转让的，挂牌公司暂不扣缴个人所得税；待个人转让股票时，证券登记结算公司根据其持股期限计算应纳税额，由证券公司等股票托管机构从个人资金账户中扣收并划付证券登记结算公司，证券登记结算公司应于次月5个工作日内划付挂牌公司，挂牌公司在收到税款当月的法定申报期内向主管税务机关申报缴纳，并应办理全员全额扣缴申报。</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个人应在资金账户留足资金,依法履行纳税义务。证券公司等股票托管机构应依法划扣税款，对个人资金账户暂无资金或资金不足的，证券公司等股票托管机构应当及时通知个人补足资金，并划扣税款。</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三、个人转让股票时，按照先进先出的原则计算持股期限，即证券账户中先取得的股票视为先转让。</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应纳税所得额以个人投资者证券账户为单位计算，持股数量以每日日终结算后个人投资者证券账户的持有记录为准，证券账户取得或转让的股票数为每日日终结算后的净增（减）股票数。</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四、对证券投资基金从挂牌公司取得的股息红利所得，按照本公告规定计征个人所得税。</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五、本公告所称个人持有挂牌公司的股票包括：</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（一）在全国中小企业股份转让系统挂牌前取得的股票；</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（二）通过全国中小企业股份转让系统转让取得的股票；</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（三）因司法扣划取得的股票；</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（四）因依法继承或家庭财产分割取得的股票；</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（五）通过收购取得的股票；</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（六）权证行权取得的股票；</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（七）使用附认股权、可转换成股份条款的公司债券认购或者转换的股票；</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（八）取得发行的股票、配股、股票股利及公积金转增股本；</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（九）挂牌公司合并，个人持有的被合并公司股票转换的合并后公司股票；</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（十）挂牌公司分立，个人持有的被分立公司股票转换的分立后公司股票；</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（十一）其他从全国中小企业股份转让系统取得的股票。</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六、本公告所称转让股票包括下列情形：</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（一）通过全国中小企业股份转让系统转让股票；</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（二）持有的股票被司法扣划；</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（三）因依法继承、捐赠或家庭财产分割让渡股票所有权；</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（四）用股票接受要约收购；</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（五）行使现金选择权将股票转让给提供现金选择权的第三方；</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（六）用股票认购或申购交易型开放式指数基金（ETF）份额；</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（七）其他具有转让实质的情形。</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七、对个人和证券投资基金从全国中小企业股份转让系统挂牌的原STAQ、NET系统挂牌公司（以下简称两网公司）以及全国中小企业股份转让系统挂牌的退市公司取得的股息红利所得，按照本公告规定计征个人所得税，但退市公司的限售股按照《财政部 国家税务总局 证监会关于实施上市公司股息红利差别化个人所得税政策有关问题的通知》（财税〔2012〕85号）第四条规定执行。</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八、本公告所称年（月）是指自然年（月），即持股一年是指从上一年某月某日至本年同月同日的前一日连续持股，持股一个月是指从上月某日至本月同日的前一日连续持股。</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九、财政、税务、证监等部门要加强协调、通力合作，切实做好政策实施的各项工作。</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挂牌公司、两网公司、退市公司，证券登记结算公司以及证券公司等股票托管机构应积极配合税务机关做好股息红利个人所得税征收管理工作。</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十、本公告自2019年7月1日起至2024年6月30日止执行，挂牌公司、两网公司、退市公司派发股息红利，股权登记日在2019年7月1日至2024年6月30日的，股息红利所得按照本公告的规定执行。本公告实施之日个人投资者证券账户已持有的挂牌公司、两网公司、退市公司股票，其持股时间自取得之日起计算。</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十一、《财政部 国家税务总局 证监会关于实施全国中小企业股份转让系统挂牌公司股息红利差别化个人所得税政策有关问题的通知》（财税〔2014〕48号）以及《财政部 国家税务总局 证监会关于上市公司股息红利差别化个人所得税政策有关问题的通知》（财税〔2015〕101号）第四条废止。</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特此公告。</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right"/>
        <w:textAlignment w:val="auto"/>
        <w:rPr>
          <w:rFonts w:hint="eastAsia" w:ascii="宋体" w:hAnsi="宋体" w:eastAsia="宋体" w:cs="宋体"/>
          <w:sz w:val="21"/>
          <w:szCs w:val="21"/>
        </w:rPr>
      </w:pPr>
      <w:r>
        <w:rPr>
          <w:rFonts w:hint="eastAsia" w:ascii="宋体" w:hAnsi="宋体" w:eastAsia="宋体" w:cs="宋体"/>
          <w:sz w:val="21"/>
          <w:szCs w:val="21"/>
        </w:rPr>
        <w:t>　　财政部</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right"/>
        <w:textAlignment w:val="auto"/>
        <w:rPr>
          <w:rFonts w:hint="eastAsia" w:ascii="宋体" w:hAnsi="宋体" w:eastAsia="宋体" w:cs="宋体"/>
          <w:sz w:val="21"/>
          <w:szCs w:val="21"/>
        </w:rPr>
      </w:pPr>
      <w:r>
        <w:rPr>
          <w:rFonts w:hint="eastAsia" w:ascii="宋体" w:hAnsi="宋体" w:eastAsia="宋体" w:cs="宋体"/>
          <w:sz w:val="21"/>
          <w:szCs w:val="21"/>
        </w:rPr>
        <w:t>　  税务总局</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right"/>
        <w:textAlignment w:val="auto"/>
        <w:rPr>
          <w:rFonts w:hint="eastAsia" w:ascii="宋体" w:hAnsi="宋体" w:eastAsia="宋体" w:cs="宋体"/>
          <w:sz w:val="21"/>
          <w:szCs w:val="21"/>
        </w:rPr>
      </w:pPr>
      <w:r>
        <w:rPr>
          <w:rFonts w:hint="eastAsia" w:ascii="宋体" w:hAnsi="宋体" w:eastAsia="宋体" w:cs="宋体"/>
          <w:sz w:val="21"/>
          <w:szCs w:val="21"/>
        </w:rPr>
        <w:t>证监会</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right"/>
        <w:textAlignment w:val="auto"/>
        <w:rPr>
          <w:rFonts w:hint="eastAsia" w:ascii="宋体" w:hAnsi="宋体" w:eastAsia="宋体" w:cs="宋体"/>
          <w:sz w:val="21"/>
          <w:szCs w:val="21"/>
        </w:rPr>
      </w:pPr>
      <w:r>
        <w:rPr>
          <w:rFonts w:hint="eastAsia" w:ascii="宋体" w:hAnsi="宋体" w:eastAsia="宋体" w:cs="宋体"/>
          <w:sz w:val="21"/>
          <w:szCs w:val="21"/>
        </w:rPr>
        <w:t>　　2019年7月12日</w:t>
      </w:r>
    </w:p>
    <w:p>
      <w:pPr>
        <w:keepNext w:val="0"/>
        <w:keepLines w:val="0"/>
        <w:widowControl/>
        <w:suppressLineNumbers w:val="0"/>
        <w:spacing w:line="432" w:lineRule="auto"/>
        <w:jc w:val="left"/>
        <w:rPr>
          <w:rFonts w:hint="eastAsia" w:ascii="宋体" w:hAnsi="宋体" w:eastAsia="宋体" w:cs="宋体"/>
          <w:vanish/>
          <w:sz w:val="19"/>
          <w:szCs w:val="19"/>
        </w:rPr>
      </w:pPr>
      <w:r>
        <w:rPr>
          <w:rFonts w:hint="eastAsia" w:ascii="宋体" w:hAnsi="宋体" w:eastAsia="宋体" w:cs="宋体"/>
          <w:vanish/>
          <w:kern w:val="0"/>
          <w:sz w:val="19"/>
          <w:szCs w:val="19"/>
          <w:lang w:val="en-US" w:eastAsia="zh-CN" w:bidi="ar"/>
        </w:rPr>
        <w:t xml:space="preserve">  </w:t>
      </w:r>
    </w:p>
    <w:p>
      <w:pPr>
        <w:keepNext w:val="0"/>
        <w:keepLines w:val="0"/>
        <w:widowControl/>
        <w:suppressLineNumbers w:val="0"/>
        <w:tabs>
          <w:tab w:val="left" w:pos="807"/>
        </w:tabs>
        <w:spacing w:line="432" w:lineRule="auto"/>
        <w:jc w:val="left"/>
        <w:rPr>
          <w:rFonts w:hint="eastAsia" w:ascii="宋体" w:hAnsi="宋体" w:eastAsia="宋体" w:cs="宋体"/>
          <w:vanish/>
          <w:sz w:val="19"/>
          <w:szCs w:val="19"/>
        </w:rPr>
      </w:pPr>
      <w:r>
        <w:rPr>
          <w:rFonts w:hint="eastAsia" w:ascii="宋体" w:hAnsi="宋体" w:eastAsia="宋体" w:cs="宋体"/>
          <w:vanish/>
          <w:sz w:val="19"/>
          <w:szCs w:val="19"/>
        </w:rPr>
        <w:t>附件下载:</w:t>
      </w:r>
      <w:r>
        <w:rPr>
          <w:vanish/>
        </w:rPr>
        <w:tab/>
      </w:r>
      <w:r>
        <w:rPr>
          <w:rFonts w:hint="eastAsia" w:ascii="宋体" w:hAnsi="宋体" w:eastAsia="宋体" w:cs="宋体"/>
          <w:vanish/>
          <w:kern w:val="0"/>
          <w:sz w:val="19"/>
          <w:szCs w:val="19"/>
          <w:lang w:val="en-US" w:eastAsia="zh-CN" w:bidi="ar"/>
        </w:rPr>
        <w:t xml:space="preserve">  </w:t>
      </w:r>
    </w:p>
    <w:p>
      <w:pPr>
        <w:keepNext w:val="0"/>
        <w:keepLines w:val="0"/>
        <w:widowControl/>
        <w:suppressLineNumbers w:val="0"/>
        <w:spacing w:line="432" w:lineRule="auto"/>
        <w:jc w:val="center"/>
        <w:outlineLvl w:val="1"/>
        <w:rPr>
          <w:rFonts w:hint="eastAsia" w:ascii="宋体" w:hAnsi="宋体" w:eastAsia="宋体" w:cs="宋体"/>
          <w:b/>
          <w:bCs w:val="0"/>
          <w:color w:val="auto"/>
          <w:kern w:val="0"/>
          <w:sz w:val="30"/>
          <w:szCs w:val="30"/>
          <w:u w:val="none"/>
          <w:lang w:val="en-US" w:eastAsia="zh-CN" w:bidi="ar"/>
        </w:rPr>
      </w:pPr>
    </w:p>
    <w:p>
      <w:pPr>
        <w:keepNext w:val="0"/>
        <w:keepLines w:val="0"/>
        <w:widowControl/>
        <w:suppressLineNumbers w:val="0"/>
        <w:spacing w:line="432" w:lineRule="auto"/>
        <w:jc w:val="center"/>
        <w:outlineLvl w:val="1"/>
        <w:rPr>
          <w:rFonts w:hint="eastAsia" w:ascii="宋体" w:hAnsi="宋体" w:eastAsia="宋体" w:cs="宋体"/>
          <w:b/>
          <w:bCs w:val="0"/>
          <w:color w:val="auto"/>
          <w:kern w:val="0"/>
          <w:sz w:val="30"/>
          <w:szCs w:val="30"/>
          <w:u w:val="none"/>
          <w:lang w:val="en-US" w:eastAsia="zh-CN" w:bidi="ar"/>
        </w:rPr>
      </w:pPr>
    </w:p>
    <w:p>
      <w:pPr>
        <w:keepNext w:val="0"/>
        <w:keepLines w:val="0"/>
        <w:widowControl/>
        <w:suppressLineNumbers w:val="0"/>
        <w:spacing w:line="432" w:lineRule="auto"/>
        <w:jc w:val="center"/>
        <w:outlineLvl w:val="1"/>
        <w:rPr>
          <w:rFonts w:hint="eastAsia" w:ascii="宋体" w:hAnsi="宋体" w:eastAsia="宋体" w:cs="宋体"/>
          <w:b/>
          <w:bCs w:val="0"/>
          <w:color w:val="auto"/>
          <w:kern w:val="0"/>
          <w:sz w:val="30"/>
          <w:szCs w:val="30"/>
          <w:u w:val="none"/>
          <w:lang w:val="en-US" w:eastAsia="zh-CN" w:bidi="ar"/>
        </w:rPr>
      </w:pPr>
    </w:p>
    <w:p>
      <w:pPr>
        <w:keepNext w:val="0"/>
        <w:keepLines w:val="0"/>
        <w:widowControl/>
        <w:suppressLineNumbers w:val="0"/>
        <w:spacing w:line="432" w:lineRule="auto"/>
        <w:jc w:val="center"/>
        <w:outlineLvl w:val="1"/>
        <w:rPr>
          <w:rFonts w:hint="eastAsia" w:ascii="宋体" w:hAnsi="宋体" w:eastAsia="宋体" w:cs="宋体"/>
          <w:b/>
          <w:bCs w:val="0"/>
          <w:color w:val="auto"/>
          <w:kern w:val="0"/>
          <w:sz w:val="30"/>
          <w:szCs w:val="30"/>
          <w:u w:val="none"/>
          <w:lang w:val="en-US" w:eastAsia="zh-CN" w:bidi="ar"/>
        </w:rPr>
      </w:pPr>
    </w:p>
    <w:p>
      <w:pPr>
        <w:keepNext w:val="0"/>
        <w:keepLines w:val="0"/>
        <w:widowControl/>
        <w:suppressLineNumbers w:val="0"/>
        <w:spacing w:line="432" w:lineRule="auto"/>
        <w:jc w:val="center"/>
        <w:outlineLvl w:val="1"/>
        <w:rPr>
          <w:rFonts w:hint="eastAsia" w:ascii="宋体" w:hAnsi="宋体" w:eastAsia="宋体" w:cs="宋体"/>
          <w:b/>
          <w:bCs w:val="0"/>
          <w:color w:val="auto"/>
          <w:sz w:val="30"/>
          <w:szCs w:val="30"/>
        </w:rPr>
      </w:pPr>
      <w:bookmarkStart w:id="171" w:name="_Toc13036"/>
      <w:r>
        <w:rPr>
          <w:rFonts w:hint="eastAsia" w:ascii="宋体" w:hAnsi="宋体" w:eastAsia="宋体" w:cs="宋体"/>
          <w:b/>
          <w:bCs w:val="0"/>
          <w:color w:val="auto"/>
          <w:kern w:val="0"/>
          <w:sz w:val="30"/>
          <w:szCs w:val="30"/>
          <w:u w:val="none"/>
          <w:lang w:val="en-US" w:eastAsia="zh-CN" w:bidi="ar"/>
        </w:rPr>
        <w:t>关于开展财政支持深化民营和小微企业金融</w:t>
      </w:r>
      <w:r>
        <w:rPr>
          <w:rFonts w:hint="eastAsia" w:ascii="宋体" w:hAnsi="宋体" w:eastAsia="宋体" w:cs="宋体"/>
          <w:b/>
          <w:bCs w:val="0"/>
          <w:color w:val="auto"/>
          <w:kern w:val="0"/>
          <w:sz w:val="30"/>
          <w:szCs w:val="30"/>
          <w:u w:val="none"/>
          <w:lang w:val="en-US" w:eastAsia="zh-CN" w:bidi="ar"/>
        </w:rPr>
        <w:br w:type="textWrapping"/>
      </w:r>
      <w:r>
        <w:rPr>
          <w:rFonts w:hint="eastAsia" w:ascii="宋体" w:hAnsi="宋体" w:eastAsia="宋体" w:cs="宋体"/>
          <w:b/>
          <w:bCs w:val="0"/>
          <w:color w:val="auto"/>
          <w:kern w:val="0"/>
          <w:sz w:val="30"/>
          <w:szCs w:val="30"/>
          <w:u w:val="none"/>
          <w:lang w:val="en-US" w:eastAsia="zh-CN" w:bidi="ar"/>
        </w:rPr>
        <w:t>服务综合改革试点城市工作的通知</w:t>
      </w:r>
      <w:bookmarkEnd w:id="171"/>
      <w:r>
        <w:rPr>
          <w:rFonts w:hint="eastAsia" w:ascii="宋体" w:hAnsi="宋体" w:eastAsia="宋体" w:cs="宋体"/>
          <w:b/>
          <w:bCs w:val="0"/>
          <w:color w:val="auto"/>
          <w:kern w:val="0"/>
          <w:sz w:val="30"/>
          <w:szCs w:val="30"/>
          <w:u w:val="none"/>
          <w:lang w:val="en-US" w:eastAsia="zh-CN" w:bidi="ar"/>
        </w:rPr>
        <w:t xml:space="preserve"> </w:t>
      </w:r>
    </w:p>
    <w:p>
      <w:pPr>
        <w:pStyle w:val="20"/>
        <w:keepNext w:val="0"/>
        <w:keepLines w:val="0"/>
        <w:widowControl/>
        <w:suppressLineNumbers w:val="0"/>
        <w:spacing w:after="210" w:afterAutospacing="0" w:line="22" w:lineRule="atLeast"/>
        <w:jc w:val="center"/>
        <w:outlineLvl w:val="1"/>
        <w:rPr>
          <w:rFonts w:hint="eastAsia" w:ascii="宋体" w:hAnsi="宋体" w:eastAsia="宋体" w:cs="宋体"/>
          <w:sz w:val="24"/>
          <w:szCs w:val="24"/>
        </w:rPr>
      </w:pPr>
      <w:bookmarkStart w:id="172" w:name="_Toc8262"/>
      <w:r>
        <w:rPr>
          <w:rFonts w:hint="eastAsia" w:ascii="宋体" w:hAnsi="宋体" w:eastAsia="宋体" w:cs="宋体"/>
          <w:sz w:val="24"/>
          <w:szCs w:val="24"/>
        </w:rPr>
        <w:t>财金〔2019〕62号</w:t>
      </w:r>
      <w:bookmarkEnd w:id="172"/>
      <w:r>
        <w:rPr>
          <w:rFonts w:hint="eastAsia" w:ascii="宋体" w:hAnsi="宋体" w:eastAsia="宋体" w:cs="宋体"/>
          <w:sz w:val="24"/>
          <w:szCs w:val="24"/>
        </w:rPr>
        <w:t>　</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各省（自治区、直辖市、计划单列市）财政厅（局）、科技厅（委、局）、中小企业主管部门、银保监局，中国人民银行上海总部、各分行、营业管理部、省会（首府）城市中心支行、各副省级城市中心支行，财政部各地监管局：</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民营和小微企业是我国经济社会发展不可或缺的重要力量。为贯彻落实党中央、国务院关于支持民营和小微企业发展的决策部署，更好发挥财政资金引导作用，探索改善民营和小微企业金融服务的有效模式，从2019年起，财政部联合科技部、工业和信息化部、人民银行、银保监会开展财政支持深化民营和小微企业金融服务综合改革试点城市工作，中央财政给予奖励资金支持。现通知如下：</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2" w:firstLineChars="200"/>
        <w:jc w:val="both"/>
        <w:textAlignment w:val="auto"/>
        <w:rPr>
          <w:rFonts w:hint="eastAsia" w:ascii="宋体" w:hAnsi="宋体" w:eastAsia="宋体" w:cs="宋体"/>
          <w:sz w:val="21"/>
          <w:szCs w:val="21"/>
        </w:rPr>
      </w:pPr>
      <w:r>
        <w:rPr>
          <w:rStyle w:val="24"/>
          <w:rFonts w:hint="eastAsia" w:ascii="宋体" w:hAnsi="宋体" w:eastAsia="宋体" w:cs="宋体"/>
          <w:sz w:val="21"/>
          <w:szCs w:val="21"/>
        </w:rPr>
        <w:t>一、指导思想</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全面贯彻党的十九大和十九届二中、三中全会精神，以习近平新时代中国特色社会主义思想为指引，认真贯彻落实党中央、国务院关于支持民营和小微企业发展的决策部署，以推进民营和小微企业金融服务高质量发展为目标，着力发挥财政资金引导撬动作用，支持地方因地制宜打造各具特色的金融服务综合改革试点城市。要落实好中央减税降费政策，着力改善小微和民营企业融资；也要防范好民营、小微企业信贷风险，健全融资担保体系和风险补偿机制，切实打好防范重大风险攻坚战。</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2" w:firstLineChars="200"/>
        <w:jc w:val="both"/>
        <w:textAlignment w:val="auto"/>
        <w:rPr>
          <w:rFonts w:hint="eastAsia" w:ascii="宋体" w:hAnsi="宋体" w:eastAsia="宋体" w:cs="宋体"/>
          <w:sz w:val="21"/>
          <w:szCs w:val="21"/>
        </w:rPr>
      </w:pPr>
      <w:r>
        <w:rPr>
          <w:rStyle w:val="24"/>
          <w:rFonts w:hint="eastAsia" w:ascii="宋体" w:hAnsi="宋体" w:eastAsia="宋体" w:cs="宋体"/>
          <w:sz w:val="21"/>
          <w:szCs w:val="21"/>
        </w:rPr>
        <w:t>二、基本原则</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（一）地方为主，中央引导。以城市为单位支持深化民营和小微企业金融服务，充分发挥地方熟悉情况、整合资源的优势，突出地方主体地位，落实好中央减税降费政策，中央财政给予资金支持。</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（二）完善机制，市场运行。立足于完善机制，弥补市场失灵，有效引导金融资源在尊重市场规律的前提下“支小助微”，更好地利用市场化手段创造良好环境，激发内生动力。</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（三）鼓励创新，探索经验。鼓励试点城市先行先试，探索深化民营和小微企业金融服务的有效模式，建立健全融资担保体系和风险补偿机制，形成可复制、可推广的经验，树立标杆，打造样本，放大政策效果。</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四）跟踪问效，奖优罚劣。实施全过程预算绩效管理，相关部门对试点城市加强指导，强化绩效目标管理，做好绩效运行监控，开展绩效评价和结果应用，跟踪其工作进展情况和实施成效，中央财政奖励资金与试点城市工作绩效挂钩，突出引导效应。</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2" w:firstLineChars="200"/>
        <w:jc w:val="both"/>
        <w:textAlignment w:val="auto"/>
        <w:rPr>
          <w:rFonts w:hint="eastAsia" w:ascii="宋体" w:hAnsi="宋体" w:eastAsia="宋体" w:cs="宋体"/>
          <w:sz w:val="21"/>
          <w:szCs w:val="21"/>
        </w:rPr>
      </w:pPr>
      <w:r>
        <w:rPr>
          <w:rStyle w:val="24"/>
          <w:rFonts w:hint="eastAsia" w:ascii="宋体" w:hAnsi="宋体" w:eastAsia="宋体" w:cs="宋体"/>
          <w:sz w:val="21"/>
          <w:szCs w:val="21"/>
        </w:rPr>
        <w:t>三、试点内容</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（一）中央财政奖励政策。</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从2019年起，中央财政通过普惠金融发展专项资金每年安排约20亿元资金，支持一定数量的试点城市。试点期限暂定为3年，东、中、西部地区每个试点城市的奖励标准分别为3000万元、4000万元、5000万元。</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奖励资金可用于试点城市金融机构的民营和小微企业信贷风险补偿或代偿，或用于试点城市政府性融资担保机构资本补充。试点城市应注重加强部门统筹协调和政策联动，特别是与中央财政已出台的小微企业融资担保降费奖补、中小企业信用担保代偿补偿等政策形成互补和合力，不得对同一主体重复安排资金支持。</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鼓励有条件的省份适当安排资金比照开展省内深化民营和小微企业金融服务综合改革试点城市工作。</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（二）试点城市选择。</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各省、自治区、直辖市及计划单列市择优确定辖区内试点城市。为更好发挥统筹资源、优化平台、创新服务的作用，试点城市一般应为地级市（含直辖市、计划单列市所辖县区）、省会（首府）城市所属区县、国家级新区。地市级行政区少于10个的省、自治区（包括吉林、福建、海南、贵州、西藏、青海、宁夏，共7个省区）及5个计划单列市，每年确定1个试点城市；其他省、自治区及4个直辖市，每年确定2个试点城市。试点城市可重复申报。</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每年1月31日前，省级（含省、自治区、直辖市、计划单列市，下同）财政部门联合金融监管、科技、工信、人民银行、银保监等部门，围绕考核要求，制定本辖区内试点城市评审方案，以试点城市绩效评价指标为依据，逐项确定绩效考核目标，加强政策指导。</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2.有意向的城市财政部门会同相关部门做好试点方案编制工作，确定绩效考核目标，细化工作任务，每年2月27日前以书面形式向省级财政部门申报。</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3.省级财政部门联合金融监管、科技、工信、人民银行、银保监等部门，采取公开竞争性方式进行评审，每年3月31日前将试点城市名单、实施方案、绩效目标及评价指标表等材料提交财政部。</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（三）绩效评价指标。</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试点工作坚持促发展和防风险并重，既要立足落实好中央减税降费政策，加大民营和小微企业融资规模，降低融资成本；又要健全政府主导的融资担保和风险补偿机制，妥善处理好支持民营、小微企业发展与防范潜在风险之间的关系。对试点城市绩效情况重点评价四个方面内容：一是金融服务民营和小微企业总体状况（占比40%）。二是完善融资担保和风险补偿机制情况（占比30%）。三是金融综合服务和创新情况（占比20%）。四是金融带动地方发展情况（占比10%）。具体绩效评价指标和口径见附件。</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（四）绩效评价实施及结果运用。</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省级财政部门联合金融监管局、科技、工信、人民银行、银保监等部门对试点城市工作开展情况和资金使用情况进行日常监督管理，建立相关绩效指标动态监测体系。</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每年3月31日前，省级财政部门联合金融监管局、科技、工信、人民银行、银保监等部门及财政部当地监管局对上年工作开展绩效评价，绩效评价结果向社会公开，并将绩效评价结果等材料提交财政部，抄送财政部当地监管局。</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财政部根据工作需要组织当地监管局对绩效评价结果进行抽评，并根据绩效评价和抽评结果进行资金结算。对绩效评价或抽评结果分值低于70分的试点城市，取消试点资格，追回全部奖励资金。</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（五）职责分工。</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各地财政、科技、工信、人民银行分支机构、银保监部门、财政部各地监管局、地方金融监管部门各司其责。试点城市绩效目标设定和评价工作由各部门分工负责：人民银行分支机构、银保监部门负责金融服务民营和小微企业总体状况、金融综合服务和创新相关指标，具体口径和得分由双方协商确定；财政部门、地方金融监管部门负责融资担保和风险补偿机制相关指标；科技、工信部门负责金融带动地方发展相关指标；财政部各地监管局负责中央财政奖励资金规范使用情况。各部门定期不定期召开联席会议，加强沟通与信息共享，构建有效高效的工作机制。</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地方相关部门应高度重视，抓紧组织做好2019年度试点城市申报和评审工作，通过以点带面、上下联动，进一步稳定市场预期，汇聚各方合力营造良好发展环境，推动实现增加民营和小微企业贷款规模、降低实体经济融资成本的目标。各省、自治区、直辖市、计划单列市财政部门应于2019年8月31日前，将本年度试点城市名单、实施方案、绩效评价指标表等材料报送财政部，并抄送财政部当地监管局。以后年度试点城市申报和评审工作时间遵照本通知执行。</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附件：1. 试点城市绩效评价指标</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　　2. 绩效评价指标填报口径说明</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right"/>
        <w:textAlignment w:val="auto"/>
        <w:rPr>
          <w:rFonts w:hint="eastAsia" w:ascii="宋体" w:hAnsi="宋体" w:eastAsia="宋体" w:cs="宋体"/>
          <w:sz w:val="21"/>
          <w:szCs w:val="21"/>
        </w:rPr>
      </w:pPr>
      <w:r>
        <w:rPr>
          <w:rFonts w:hint="eastAsia" w:ascii="宋体" w:hAnsi="宋体" w:eastAsia="宋体" w:cs="宋体"/>
          <w:sz w:val="21"/>
          <w:szCs w:val="21"/>
        </w:rPr>
        <w:t>　　财政部</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right"/>
        <w:textAlignment w:val="auto"/>
        <w:rPr>
          <w:rFonts w:hint="eastAsia" w:ascii="宋体" w:hAnsi="宋体" w:eastAsia="宋体" w:cs="宋体"/>
          <w:sz w:val="21"/>
          <w:szCs w:val="21"/>
        </w:rPr>
      </w:pPr>
      <w:r>
        <w:rPr>
          <w:rFonts w:hint="eastAsia" w:ascii="宋体" w:hAnsi="宋体" w:eastAsia="宋体" w:cs="宋体"/>
          <w:sz w:val="21"/>
          <w:szCs w:val="21"/>
        </w:rPr>
        <w:t>　　科技部</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right"/>
        <w:textAlignment w:val="auto"/>
        <w:rPr>
          <w:rFonts w:hint="eastAsia" w:ascii="宋体" w:hAnsi="宋体" w:eastAsia="宋体" w:cs="宋体"/>
          <w:sz w:val="21"/>
          <w:szCs w:val="21"/>
        </w:rPr>
      </w:pPr>
      <w:r>
        <w:rPr>
          <w:rFonts w:hint="eastAsia" w:ascii="宋体" w:hAnsi="宋体" w:eastAsia="宋体" w:cs="宋体"/>
          <w:sz w:val="21"/>
          <w:szCs w:val="21"/>
        </w:rPr>
        <w:t>　　工业和信息化部</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right"/>
        <w:textAlignment w:val="auto"/>
        <w:rPr>
          <w:rFonts w:hint="eastAsia" w:ascii="宋体" w:hAnsi="宋体" w:eastAsia="宋体" w:cs="宋体"/>
          <w:sz w:val="21"/>
          <w:szCs w:val="21"/>
        </w:rPr>
      </w:pPr>
      <w:r>
        <w:rPr>
          <w:rFonts w:hint="eastAsia" w:ascii="宋体" w:hAnsi="宋体" w:eastAsia="宋体" w:cs="宋体"/>
          <w:sz w:val="21"/>
          <w:szCs w:val="21"/>
        </w:rPr>
        <w:t>　　人民银行</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right"/>
        <w:textAlignment w:val="auto"/>
        <w:rPr>
          <w:rFonts w:hint="eastAsia" w:ascii="宋体" w:hAnsi="宋体" w:eastAsia="宋体" w:cs="宋体"/>
          <w:sz w:val="21"/>
          <w:szCs w:val="21"/>
        </w:rPr>
      </w:pPr>
      <w:r>
        <w:rPr>
          <w:rFonts w:hint="eastAsia" w:ascii="宋体" w:hAnsi="宋体" w:eastAsia="宋体" w:cs="宋体"/>
          <w:sz w:val="21"/>
          <w:szCs w:val="21"/>
        </w:rPr>
        <w:t>　　银保监会</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right"/>
        <w:textAlignment w:val="auto"/>
        <w:rPr>
          <w:rFonts w:hint="eastAsia" w:ascii="宋体" w:hAnsi="宋体" w:eastAsia="宋体" w:cs="宋体"/>
          <w:sz w:val="21"/>
          <w:szCs w:val="21"/>
        </w:rPr>
      </w:pPr>
      <w:r>
        <w:rPr>
          <w:rFonts w:hint="eastAsia" w:ascii="宋体" w:hAnsi="宋体" w:eastAsia="宋体" w:cs="宋体"/>
          <w:sz w:val="21"/>
          <w:szCs w:val="21"/>
        </w:rPr>
        <w:t>　　2019年7月16日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b/>
          <w:bCs/>
          <w:i w:val="0"/>
          <w:caps w:val="0"/>
          <w:color w:val="333333"/>
          <w:spacing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b/>
          <w:bCs/>
          <w:i w:val="0"/>
          <w:caps w:val="0"/>
          <w:color w:val="333333"/>
          <w:spacing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b/>
          <w:bCs/>
          <w:i w:val="0"/>
          <w:caps w:val="0"/>
          <w:color w:val="333333"/>
          <w:spacing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b/>
          <w:bCs/>
          <w:i w:val="0"/>
          <w:caps w:val="0"/>
          <w:color w:val="333333"/>
          <w:spacing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b/>
          <w:bCs/>
          <w:i w:val="0"/>
          <w:caps w:val="0"/>
          <w:color w:val="333333"/>
          <w:spacing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b/>
          <w:bCs/>
          <w:i w:val="0"/>
          <w:caps w:val="0"/>
          <w:color w:val="333333"/>
          <w:spacing w:val="0"/>
          <w:sz w:val="30"/>
          <w:szCs w:val="30"/>
          <w:lang w:val="en-US" w:eastAsia="zh-CN"/>
        </w:rPr>
      </w:pPr>
      <w:bookmarkStart w:id="173" w:name="_Toc6314"/>
      <w:r>
        <w:rPr>
          <w:rFonts w:hint="eastAsia"/>
          <w:b/>
          <w:bCs/>
          <w:i w:val="0"/>
          <w:caps w:val="0"/>
          <w:color w:val="333333"/>
          <w:spacing w:val="0"/>
          <w:sz w:val="30"/>
          <w:szCs w:val="30"/>
          <w:lang w:val="en-US" w:eastAsia="zh-CN"/>
        </w:rPr>
        <w:t>关于2019年度国家小型微型企业创业创新示范基地名单的公示</w:t>
      </w:r>
      <w:bookmarkEnd w:id="173"/>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outlineLvl w:val="1"/>
        <w:rPr>
          <w:rFonts w:hint="eastAsia"/>
          <w:i w:val="0"/>
          <w:caps w:val="0"/>
          <w:color w:val="333333"/>
          <w:spacing w:val="0"/>
          <w:sz w:val="24"/>
          <w:szCs w:val="24"/>
          <w:lang w:val="en-US" w:eastAsia="zh-CN"/>
        </w:rPr>
      </w:pP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根据《工业和信息化部国家小型微型企业创业创新示范基地建设管理办法》（工信部企业〔2016〕194号）、《关于推荐2019年度国家小型微型企业创业创新示范基地的通知》（工企业函〔2019〕164号），我部组织开展了相关评审工作，共有107个基地通过了审核。</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现将通过审核的基地名单予以公示。欢迎社会各界参与监督，如有异议，请与工业和信息化部中小企业局联系。</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 </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公示时间：2019年7月18日至8月7日。</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联系电话：010-68205727</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 </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附件：</w:t>
      </w:r>
      <w:r>
        <w:rPr>
          <w:rFonts w:hint="eastAsia"/>
          <w:b w:val="0"/>
          <w:bCs w:val="0"/>
          <w:sz w:val="21"/>
          <w:szCs w:val="21"/>
          <w:lang w:val="en-US" w:eastAsia="zh-CN"/>
        </w:rPr>
        <w:fldChar w:fldCharType="begin"/>
      </w:r>
      <w:r>
        <w:rPr>
          <w:rFonts w:hint="eastAsia"/>
          <w:b w:val="0"/>
          <w:bCs w:val="0"/>
          <w:sz w:val="21"/>
          <w:szCs w:val="21"/>
          <w:lang w:val="en-US" w:eastAsia="zh-CN"/>
        </w:rPr>
        <w:instrText xml:space="preserve"> HYPERLINK "http://www.miit.gov.cn/n1146285/n1146352/n3054355/n3057527/n3057537/c7117155/part/7117161.xls" \t "http://www.miit.gov.cn/n1146285/n1146352/n3054355/n3057527/n3057537/c7117155/_blank" </w:instrText>
      </w:r>
      <w:r>
        <w:rPr>
          <w:rFonts w:hint="eastAsia"/>
          <w:b w:val="0"/>
          <w:bCs w:val="0"/>
          <w:sz w:val="21"/>
          <w:szCs w:val="21"/>
          <w:lang w:val="en-US" w:eastAsia="zh-CN"/>
        </w:rPr>
        <w:fldChar w:fldCharType="separate"/>
      </w:r>
      <w:r>
        <w:rPr>
          <w:rFonts w:hint="eastAsia"/>
          <w:b w:val="0"/>
          <w:bCs w:val="0"/>
          <w:sz w:val="21"/>
          <w:szCs w:val="21"/>
          <w:lang w:val="en-US" w:eastAsia="zh-CN"/>
        </w:rPr>
        <w:t>2019年度国家小型微型企业创业创新示范基地公示名单.xls</w:t>
      </w:r>
      <w:r>
        <w:rPr>
          <w:rFonts w:hint="eastAsia"/>
          <w:b w:val="0"/>
          <w:bCs w:val="0"/>
          <w:sz w:val="21"/>
          <w:szCs w:val="21"/>
          <w:lang w:val="en-US" w:eastAsia="zh-CN"/>
        </w:rPr>
        <w:fldChar w:fldCharType="end"/>
      </w:r>
      <w:r>
        <w:rPr>
          <w:rFonts w:hint="eastAsia"/>
          <w:b w:val="0"/>
          <w:bCs w:val="0"/>
          <w:sz w:val="21"/>
          <w:szCs w:val="21"/>
          <w:lang w:val="en-US" w:eastAsia="zh-CN"/>
        </w:rPr>
        <w:t>  </w:t>
      </w:r>
    </w:p>
    <w:p>
      <w:pPr>
        <w:pStyle w:val="20"/>
        <w:spacing w:before="0" w:beforeAutospacing="0" w:after="0" w:afterAutospacing="0" w:line="360" w:lineRule="auto"/>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 </w:t>
      </w:r>
    </w:p>
    <w:p>
      <w:pPr>
        <w:pStyle w:val="20"/>
        <w:spacing w:before="0" w:beforeAutospacing="0" w:after="0" w:afterAutospacing="0" w:line="360" w:lineRule="auto"/>
        <w:ind w:left="0" w:leftChars="0" w:firstLine="420" w:firstLineChars="200"/>
        <w:jc w:val="right"/>
        <w:rPr>
          <w:rFonts w:hint="eastAsia"/>
          <w:b w:val="0"/>
          <w:bCs w:val="0"/>
          <w:sz w:val="21"/>
          <w:szCs w:val="21"/>
          <w:lang w:val="en-US" w:eastAsia="zh-CN"/>
        </w:rPr>
      </w:pPr>
      <w:r>
        <w:rPr>
          <w:rFonts w:hint="eastAsia"/>
          <w:b w:val="0"/>
          <w:bCs w:val="0"/>
          <w:sz w:val="21"/>
          <w:szCs w:val="21"/>
          <w:lang w:val="en-US" w:eastAsia="zh-CN"/>
        </w:rPr>
        <w:t>工业和信息化部中小企业局</w:t>
      </w:r>
    </w:p>
    <w:p>
      <w:pPr>
        <w:pStyle w:val="20"/>
        <w:spacing w:before="0" w:beforeAutospacing="0" w:after="0" w:afterAutospacing="0" w:line="360" w:lineRule="auto"/>
        <w:ind w:left="0" w:leftChars="0" w:firstLine="420" w:firstLineChars="200"/>
        <w:jc w:val="right"/>
        <w:rPr>
          <w:rFonts w:hint="eastAsia"/>
          <w:b w:val="0"/>
          <w:bCs w:val="0"/>
          <w:sz w:val="21"/>
          <w:szCs w:val="21"/>
          <w:lang w:val="en-US" w:eastAsia="zh-CN"/>
        </w:rPr>
      </w:pPr>
      <w:r>
        <w:rPr>
          <w:rFonts w:hint="eastAsia"/>
          <w:b w:val="0"/>
          <w:bCs w:val="0"/>
          <w:sz w:val="21"/>
          <w:szCs w:val="21"/>
          <w:lang w:val="en-US" w:eastAsia="zh-CN"/>
        </w:rPr>
        <w:t>2019年7月17日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outlineLvl w:val="1"/>
        <w:rPr>
          <w:rFonts w:hint="default"/>
          <w:i w:val="0"/>
          <w:caps w:val="0"/>
          <w:color w:val="333333"/>
          <w:spacing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b/>
          <w:bCs/>
          <w:i w:val="0"/>
          <w:caps w:val="0"/>
          <w:color w:val="333333"/>
          <w:spacing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b/>
          <w:bCs/>
          <w:i w:val="0"/>
          <w:caps w:val="0"/>
          <w:color w:val="333333"/>
          <w:spacing w:val="0"/>
          <w:sz w:val="30"/>
          <w:szCs w:val="30"/>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outlineLvl w:val="1"/>
        <w:rPr>
          <w:rFonts w:hint="eastAsia" w:ascii="宋体" w:hAnsi="宋体" w:eastAsia="宋体" w:cs="宋体"/>
          <w:b/>
          <w:bCs/>
          <w:i w:val="0"/>
          <w:caps w:val="0"/>
          <w:color w:val="333333"/>
          <w:spacing w:val="0"/>
          <w:sz w:val="30"/>
          <w:szCs w:val="30"/>
        </w:rPr>
      </w:pPr>
      <w:bookmarkStart w:id="174" w:name="_Toc529"/>
      <w:r>
        <w:rPr>
          <w:rFonts w:hint="eastAsia" w:ascii="宋体" w:hAnsi="宋体" w:eastAsia="宋体" w:cs="宋体"/>
          <w:b/>
          <w:bCs/>
          <w:i w:val="0"/>
          <w:caps w:val="0"/>
          <w:color w:val="333333"/>
          <w:spacing w:val="0"/>
          <w:kern w:val="0"/>
          <w:sz w:val="30"/>
          <w:szCs w:val="30"/>
          <w:shd w:val="clear" w:fill="FFFFFF"/>
          <w:lang w:val="en-US" w:eastAsia="zh-CN" w:bidi="ar"/>
        </w:rPr>
        <w:t>市场监管总局关于进一步优化国家企业信用信息公示系统的通知</w:t>
      </w:r>
      <w:bookmarkEnd w:id="174"/>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center"/>
        <w:outlineLvl w:val="1"/>
        <w:rPr>
          <w:rFonts w:hint="eastAsia" w:ascii="宋体" w:hAnsi="宋体" w:eastAsia="宋体" w:cs="宋体"/>
          <w:i w:val="0"/>
          <w:caps w:val="0"/>
          <w:color w:val="333333"/>
          <w:spacing w:val="0"/>
          <w:kern w:val="0"/>
          <w:sz w:val="21"/>
          <w:szCs w:val="21"/>
          <w:shd w:val="clear" w:fill="FFFFFF"/>
          <w:lang w:val="en-US" w:eastAsia="zh-CN" w:bidi="ar"/>
        </w:rPr>
      </w:pPr>
      <w:bookmarkStart w:id="175" w:name="_Toc21074"/>
      <w:r>
        <w:rPr>
          <w:rFonts w:hint="eastAsia" w:ascii="宋体" w:hAnsi="宋体" w:eastAsia="宋体" w:cs="宋体"/>
          <w:i w:val="0"/>
          <w:caps w:val="0"/>
          <w:color w:val="333333"/>
          <w:spacing w:val="0"/>
          <w:kern w:val="0"/>
          <w:sz w:val="21"/>
          <w:szCs w:val="21"/>
          <w:shd w:val="clear" w:fill="FFFFFF"/>
          <w:lang w:val="en-US" w:eastAsia="zh-CN" w:bidi="ar"/>
        </w:rPr>
        <w:t>国市监信〔2019〕142号</w:t>
      </w:r>
      <w:bookmarkEnd w:id="175"/>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center"/>
        <w:outlineLvl w:val="1"/>
        <w:rPr>
          <w:rFonts w:hint="eastAsia" w:ascii="宋体" w:hAnsi="宋体" w:eastAsia="宋体" w:cs="宋体"/>
          <w:i w:val="0"/>
          <w:caps w:val="0"/>
          <w:color w:val="333333"/>
          <w:spacing w:val="0"/>
          <w:kern w:val="0"/>
          <w:sz w:val="21"/>
          <w:szCs w:val="2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各省、自治区、直辖市及新疆生产建设兵团市场监管局（厅、委）：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　　国家企业信用信息公示系统（以下简称公示系统）是国家级企业信用信息归集公示平台，是企业报送并公示年度报告和即时信息的法定平台，是各级政府部门实施信用监管的重要工作平台。为充分发挥公示系统支撑商事制度改革和“放管服”改革措施落地、推动建设统一开放竞争有序市场体系、推进国家治理体系和治理能力现代化、服务营商环境优化和经济高质量发展的重要基础性作用，更好释放企业（含个体工商户、农民专业合作社，下同）信用红利,降低制度性交易成本,激发市场活力和创造力,加强事中事后监管,持续优化营商环境，现就进一步优化公示系统有关事项通知如下：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黑体" w:hAnsi="黑体" w:eastAsia="黑体" w:cs="黑体"/>
          <w:i w:val="0"/>
          <w:caps w:val="0"/>
          <w:color w:val="333333"/>
          <w:spacing w:val="0"/>
          <w:kern w:val="0"/>
          <w:sz w:val="24"/>
          <w:szCs w:val="24"/>
          <w:shd w:val="clear" w:fill="FFFFFF"/>
          <w:lang w:val="en-US" w:eastAsia="zh-CN" w:bidi="ar"/>
        </w:rPr>
      </w:pPr>
      <w:r>
        <w:rPr>
          <w:rFonts w:hint="eastAsia" w:ascii="黑体" w:hAnsi="黑体" w:eastAsia="黑体" w:cs="黑体"/>
          <w:i w:val="0"/>
          <w:caps w:val="0"/>
          <w:color w:val="333333"/>
          <w:spacing w:val="0"/>
          <w:kern w:val="0"/>
          <w:sz w:val="24"/>
          <w:szCs w:val="24"/>
          <w:shd w:val="clear" w:fill="FFFFFF"/>
          <w:lang w:val="en-US" w:eastAsia="zh-CN" w:bidi="ar"/>
        </w:rPr>
        <w:t>　　一、优化公示系统内容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　 （一）依法公示涉企信息。落实《国务院办公厅关于政府部门涉企信息统一归集公示工作实施方案的复函》（国办函〔2016〕74号）要求，发挥市场监管部门牵头作用，按照“谁产生、谁公示、谁负责”原则，依照政府部门涉企信息资源目录、数据标准，加快实现各级各部门涉企信息统一归集公示。做好各类业务系统与公示系统的互联互通和数据对接，在注册登记备案、资质审核管理、日常监管执法、提供公共服务等工作中，以统一社会信用代码为标识，以注册登记准入审批、食品药品安全监管、特种设备安全监管、工业产品质量安全监管、重点领域市场监管、知识产权管理、侵权假冒治理、公平竞争执法、消费者权益保护、标准计量认证认可检验检测等为重点，将企业登记注册备案、动产抵押登记、股权出质登记、知识产权出质登记、行政许可、行政处罚、商标注册、纳入经营异常名录和严重违法失信企业名单及各类黑名单、抽查检查结果等信息，全部记于企业名下并通过公示系统向社会公示，形成全面覆盖市场监管各业务条线的涉企信息公示“全国一张网”。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　 （二）有序公示存量信息。加强对涉企信息存量数据的梳理清洗，明确时间节点，明晰公示规则，实现登记备案存量信息的有效公示，推动解决市场主体、政府部门、社会公众间涉企信息不对称问题。2014年3月1日（不含3月1日）前企业的变更信息及此前已注销企业的信息，可不予公示。2014年10月1日（不含10月1日）前已吊销的企业，登记机关应公示“名称”“注册号”“吊销日期”并标注“已吊销”。2014年10月1日（不含10月1日）前的动产抵押登记、股权出质登记、司法协助、行政处罚等，可不予公示；2014年10月1日（含10月1日）后设立的企业，登记机关应公示全量信息。 2014年3月1日（不含3月1日）前设立的企业，登记机关应公示其认缴信息和实缴信息；2014年3月1日至2015年10月1日（不含10月1日）设立的，登记机关不公示其实缴信息和认缴信息；2015年10月1日（含10月1日）后设立的，登记机关应公示其认缴信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黑体" w:hAnsi="黑体" w:eastAsia="黑体" w:cs="黑体"/>
          <w:i w:val="0"/>
          <w:caps w:val="0"/>
          <w:color w:val="333333"/>
          <w:spacing w:val="0"/>
          <w:kern w:val="0"/>
          <w:sz w:val="24"/>
          <w:szCs w:val="24"/>
          <w:shd w:val="clear" w:fill="FFFFFF"/>
          <w:lang w:val="en-US" w:eastAsia="zh-CN" w:bidi="ar"/>
        </w:rPr>
      </w:pPr>
      <w:r>
        <w:rPr>
          <w:rFonts w:hint="eastAsia" w:ascii="黑体" w:hAnsi="黑体" w:eastAsia="黑体" w:cs="黑体"/>
          <w:i w:val="0"/>
          <w:caps w:val="0"/>
          <w:color w:val="333333"/>
          <w:spacing w:val="0"/>
          <w:kern w:val="0"/>
          <w:sz w:val="24"/>
          <w:szCs w:val="24"/>
          <w:shd w:val="clear" w:fill="FFFFFF"/>
          <w:lang w:val="en-US" w:eastAsia="zh-CN" w:bidi="ar"/>
        </w:rPr>
        <w:t>　　二、强化应用支撑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　 （三）支撑改革措施落地。依托公示系统加快建设省级统一的“双随机、一公开”监管工作平台，实现各部门、各层级监管信息的互联互通，满足跨部门、跨层级随机抽查检查的公示需求。完善协同监管平台“双告知”功能，优化涉及证照分离改革事项信息的推送、认领、反馈、查询和统计，为宽进严管、放管结合和压缩企业开办时间、降低企业运营成本提供支撑。完善公示系统注销和简易注销等功能模块，满足企业自主公示承诺、在线提起异议、破产重整状态提示等应用需求，畅通企业的市场退出机制，有效解决“注销难”“退出难”问题。部署应用电子营业执照登录认证等功能模块，夯实电子营业执照在公共服务领域规模使用的平台基础。在信息公告栏目增加无证无照经营公示模块，对从事无证无照经营的，依法记入信用记录并向社会公告。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　 （四）提升利企便民水平。落实《外商投资法》要求，推进年报“多报合一”，便于外国投资者或者外商投资企业通过企业登记系统以及公示系统报送投资信息。加强与国家药监局协调协作，做好疫苗企业年度质量报告与企业年报公示制度的衔接。强化公示系统及其协同监管平台在行政审批便利化中的服务功能，将其作为减证便民的信息共享交换渠道，推动实现凡是能通过公示系统及其协同监管平台获取的信息，不再要求企业和社会公众提交相关书面证明，实现一次采集、部门共享、多方使用。优化营业执照遗失和作废声明工作程序，方便企业通过公示系统自助办理和社会公众检索查询，为企业节约时间与费用。强化企业年报填报提示功能，在具体填报事项中逐项内置填报说明，并针对部分企业反映的因手机号码公示受到推销骚扰的问题，对将手机号码填报为联系电话的予以提醒。搭建企业自主公示告知承诺、信用承诺的模块，将企业的各类自主承诺、执行标准自我声明等记于名下并公示，推动构建企业自律、政府监管、社会共治的监管新格局。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　　（五）形成联合惩戒链条。严格企业全生命周期信用记录的归集公示和痕迹管理，通过“一体化数据平台跨地域涉企信用信息流转与记名系统”，及时将异地产生的涉企信息归集至登记机关，实现企业失信信息的跨地域、跨部门有序流转。强化公示系统严重违法失信企业名单（黑名单）功能，有效归集其他政府部门黑名单信息，实现与严重违法失信企业名单信息的并联公示。明确严重违法失信企业名单内企业注销后的移出规则，在数据标准中增加“企业注销，自动移出”的移出原因，鼓励企业依法有序退出。加强对经营异常名录和严重违法失信企业名单的统筹管理，鼓励有条件的地方积极探索通过数据接口等方式实现黑名单信息和惩戒结果实时共享、自动反馈。加强对上传涉企信息数据的质量监测与勘误校正，深化总局一体化数据平台与各省节点的协调配合,织牢织密信用约束全国“一张网”。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黑体" w:hAnsi="黑体" w:eastAsia="黑体" w:cs="黑体"/>
          <w:i w:val="0"/>
          <w:caps w:val="0"/>
          <w:color w:val="333333"/>
          <w:spacing w:val="0"/>
          <w:sz w:val="24"/>
          <w:szCs w:val="24"/>
        </w:rPr>
      </w:pPr>
      <w:r>
        <w:rPr>
          <w:rFonts w:hint="eastAsia" w:ascii="黑体" w:hAnsi="黑体" w:eastAsia="黑体" w:cs="黑体"/>
          <w:i w:val="0"/>
          <w:caps w:val="0"/>
          <w:color w:val="333333"/>
          <w:spacing w:val="0"/>
          <w:kern w:val="0"/>
          <w:sz w:val="24"/>
          <w:szCs w:val="24"/>
          <w:shd w:val="clear" w:fill="FFFFFF"/>
          <w:lang w:val="en-US" w:eastAsia="zh-CN" w:bidi="ar"/>
        </w:rPr>
        <w:t>　　三、畅通诉求渠道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　　（六）加强咨询服务。畅通电话咨询服务，及时答复网站留言，用最快的速度、最优的服务、最好的态度，提高公示系统咨询服务的效率和质量，确保群众反映的问题及时得到回应。提供5×8小时人工咨询服务，通过设立咨询专岗、五级协同联动等前后台结合的方式，优化服务流程，加强服务供给。各级市场监管部门政务网站要开通留言服务功能，在规定期限内及时解答群众咨询留言，缓解人工咨询电话席位少、拨打难的问题。聚焦社会公众查询使用公示系统的堵点、难点、痛点，协调各相关业务条线及时解决群众反映突出的问题，不断提升群众对公示系统的满意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　　（七）做好异议处理。及时办理“为政府网站找错”留言，明确受理、转办、督办、反馈等工作流程和具体要求，确保群众留言事项件件有落实、事事有回应。对社会公众通过公示系统异议平台提出的异议，经异议平台自动分转或市场监管总局人工送达省级市场监管部门，由省级市场监管部门对异议的具体内容进行审核，对不符合异议处理条件的，应驳回其申请并说明理由；对符合异议处理条件的，应及时更正和反馈，并上报市场监管总局对账销号。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黑体" w:hAnsi="黑体" w:eastAsia="黑体" w:cs="黑体"/>
          <w:i w:val="0"/>
          <w:caps w:val="0"/>
          <w:color w:val="333333"/>
          <w:spacing w:val="0"/>
          <w:kern w:val="0"/>
          <w:sz w:val="24"/>
          <w:szCs w:val="24"/>
          <w:shd w:val="clear" w:fill="FFFFFF"/>
          <w:lang w:val="en-US" w:eastAsia="zh-CN" w:bidi="ar"/>
        </w:rPr>
      </w:pPr>
      <w:r>
        <w:rPr>
          <w:rFonts w:hint="eastAsia" w:ascii="黑体" w:hAnsi="黑体" w:eastAsia="黑体" w:cs="黑体"/>
          <w:i w:val="0"/>
          <w:caps w:val="0"/>
          <w:color w:val="333333"/>
          <w:spacing w:val="0"/>
          <w:kern w:val="0"/>
          <w:sz w:val="24"/>
          <w:szCs w:val="24"/>
          <w:shd w:val="clear" w:fill="FFFFFF"/>
          <w:lang w:val="en-US" w:eastAsia="zh-CN" w:bidi="ar"/>
        </w:rPr>
        <w:t>　　四、提高数据质量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　　（八）把好数据采集关。健全完善市场监管部门各类业务的数据元标准和数据规范，细化数据产生、归集、记名、使用的具体要求。通过窗口服务、上门指导、监督检查等，督促指导市场主体高质量做好年度报告公示和即时信息公示，提高市场主体年报公示和即时信息报送质量。推动建立涉企信息归集质量考核机制，加强各部门涉企信息数据采集的源头管理，提高市场主体登记、备案等信息报送质量，及时准确归集涉企信息数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　　（九）把好数据比对关。加强重点环节审核，建立指标间勾稽关系的逻辑校验模块，强化对企业报送信息完整性与逻辑性的审核提示，减少各类数据缺漏和差错。开展年报信息和即时公示信息抽查检查，加强企业经营数据与税务部门报税信息、政府部门归集公示涉企信息与企业即时公示信息的比对，对检查中发现存在隐瞒真实情况、弄虚作假的，依照法规规章规定列入经营异常名录并向社会公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　　（十）把好数据安全关。完善数据安全管理规定，采取必要的技术手段，加强对涉及国家利益、公共安全、商业秘密、个人隐私等信息的保护，有效防范数据安全各类风险。遵循严格保护的原则，制定数据脱敏规则和泄密应急处置预案，切实防止因依法履职获取的非公示信息失控失察。因玩忽职守导致出现数据安全事故，或利用工作之便非法泄露涉密隐私信息的，依法追究行政责任；构成犯罪的，依法追究刑事责任。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黑体" w:hAnsi="黑体" w:eastAsia="黑体" w:cs="黑体"/>
          <w:i w:val="0"/>
          <w:caps w:val="0"/>
          <w:color w:val="333333"/>
          <w:spacing w:val="0"/>
          <w:sz w:val="24"/>
          <w:szCs w:val="24"/>
        </w:rPr>
      </w:pPr>
      <w:r>
        <w:rPr>
          <w:rFonts w:hint="eastAsia" w:ascii="黑体" w:hAnsi="黑体" w:eastAsia="黑体" w:cs="黑体"/>
          <w:i w:val="0"/>
          <w:caps w:val="0"/>
          <w:color w:val="333333"/>
          <w:spacing w:val="0"/>
          <w:kern w:val="0"/>
          <w:sz w:val="24"/>
          <w:szCs w:val="24"/>
          <w:shd w:val="clear" w:fill="FFFFFF"/>
          <w:lang w:val="en-US" w:eastAsia="zh-CN" w:bidi="ar"/>
        </w:rPr>
        <w:t>　　五、做好组织实施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　　（十一）加强组织领导。优化公示系统是一项系统工程，涉及市场监管各业务条线，必须加强组织领导，统筹协调推进。主要领导要亲自谋划部署，分管负责同志要抓紧抓好落实。各级市场监管部门信用监管工作机构、信息化工作机构要具体协调推动，充分发挥牵头协调作用，及时协调解决工作推进中遇到的困难和问题。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　　（十二）注重宣传引导。要采取多种形式，综合利用广播、电视、报刊、互联网、自媒体等传播媒介，大力宣传公示系统利企便民各项措施与功能，让广大市场主体和社会公众充分享受改革便利和信用红利。要坚持典型示范引领，鼓励基层创新，形成一批可复制、可推广的经验做法。要加大对各级政府部门的宣传培训，提高依托公示系统及其协同监管平台履行监管职责的能力水平。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　　（十三）严格监督检查。各省（区、市）和新疆生产建设兵团市场监管部门要结合本地实际，研究制定优化公示系统的具体实施方案，明确各项任务的时间表、路线图、责任人，层层分解、层层抓实，并于2019年8月15日前报市场监管总局信用监管司。要主动担当作为，严格督促检查，严肃工作纪律，一级抓一级、层层抓落实，确保优化公示系统各项任务落到实处、取得实效。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          市场监管总局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          2019年7月19日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b/>
          <w:bCs/>
          <w:i w:val="0"/>
          <w:caps w:val="0"/>
          <w:color w:val="333333"/>
          <w:spacing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b/>
          <w:bCs/>
          <w:i w:val="0"/>
          <w:caps w:val="0"/>
          <w:color w:val="333333"/>
          <w:spacing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b/>
          <w:bCs/>
          <w:i w:val="0"/>
          <w:caps w:val="0"/>
          <w:color w:val="333333"/>
          <w:spacing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b/>
          <w:bCs/>
          <w:i w:val="0"/>
          <w:caps w:val="0"/>
          <w:color w:val="333333"/>
          <w:spacing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b/>
          <w:bCs/>
          <w:i w:val="0"/>
          <w:caps w:val="0"/>
          <w:color w:val="333333"/>
          <w:spacing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b/>
          <w:bCs/>
          <w:i w:val="0"/>
          <w:caps w:val="0"/>
          <w:color w:val="333333"/>
          <w:spacing w:val="0"/>
          <w:sz w:val="30"/>
          <w:szCs w:val="30"/>
          <w:lang w:val="en-US" w:eastAsia="zh-CN"/>
        </w:rPr>
      </w:pPr>
      <w:bookmarkStart w:id="176" w:name="_Toc28573"/>
      <w:r>
        <w:rPr>
          <w:rFonts w:hint="eastAsia"/>
          <w:b/>
          <w:bCs/>
          <w:i w:val="0"/>
          <w:caps w:val="0"/>
          <w:color w:val="333333"/>
          <w:spacing w:val="0"/>
          <w:sz w:val="30"/>
          <w:szCs w:val="30"/>
          <w:lang w:val="en-US" w:eastAsia="zh-CN"/>
        </w:rPr>
        <w:t>关于促进政府采购公平竞争优化营商环境的通知</w:t>
      </w:r>
      <w:bookmarkEnd w:id="176"/>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b w:val="0"/>
          <w:bCs w:val="0"/>
          <w:i w:val="0"/>
          <w:caps w:val="0"/>
          <w:color w:val="333333"/>
          <w:spacing w:val="0"/>
          <w:sz w:val="24"/>
          <w:szCs w:val="24"/>
          <w:lang w:val="en-US" w:eastAsia="zh-CN"/>
        </w:rPr>
      </w:pPr>
      <w:bookmarkStart w:id="177" w:name="_Toc4932"/>
      <w:r>
        <w:rPr>
          <w:rFonts w:hint="eastAsia"/>
          <w:b w:val="0"/>
          <w:bCs w:val="0"/>
          <w:i w:val="0"/>
          <w:caps w:val="0"/>
          <w:color w:val="333333"/>
          <w:spacing w:val="0"/>
          <w:sz w:val="24"/>
          <w:szCs w:val="24"/>
          <w:lang w:val="en-US" w:eastAsia="zh-CN"/>
        </w:rPr>
        <w:t>财库〔2019〕38号</w:t>
      </w:r>
      <w:bookmarkEnd w:id="177"/>
    </w:p>
    <w:p>
      <w:pPr>
        <w:pStyle w:val="20"/>
        <w:spacing w:before="0" w:beforeAutospacing="0" w:after="0" w:afterAutospacing="0" w:line="360" w:lineRule="auto"/>
        <w:jc w:val="both"/>
        <w:rPr>
          <w:rFonts w:hint="eastAsia"/>
          <w:b w:val="0"/>
          <w:bCs w:val="0"/>
          <w:sz w:val="21"/>
          <w:szCs w:val="21"/>
          <w:lang w:val="en-US" w:eastAsia="zh-CN"/>
        </w:rPr>
      </w:pPr>
    </w:p>
    <w:p>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b w:val="0"/>
          <w:bCs w:val="0"/>
          <w:sz w:val="21"/>
          <w:szCs w:val="21"/>
          <w:lang w:val="en-US" w:eastAsia="zh-CN"/>
        </w:rPr>
      </w:pPr>
      <w:r>
        <w:rPr>
          <w:rFonts w:hint="eastAsia"/>
          <w:b w:val="0"/>
          <w:bCs w:val="0"/>
          <w:sz w:val="21"/>
          <w:szCs w:val="21"/>
          <w:lang w:val="en-US" w:eastAsia="zh-CN"/>
        </w:rPr>
        <w:t>各中央预算单位，各省、自治区、直辖市、计划单列市财政厅（局），新疆生产建设兵团财政局：</w:t>
      </w:r>
    </w:p>
    <w:p>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b w:val="0"/>
          <w:bCs w:val="0"/>
          <w:sz w:val="21"/>
          <w:szCs w:val="21"/>
          <w:lang w:val="en-US" w:eastAsia="zh-CN"/>
        </w:rPr>
      </w:pPr>
      <w:r>
        <w:rPr>
          <w:rFonts w:hint="eastAsia"/>
          <w:b w:val="0"/>
          <w:bCs w:val="0"/>
          <w:sz w:val="21"/>
          <w:szCs w:val="21"/>
          <w:lang w:val="en-US" w:eastAsia="zh-CN"/>
        </w:rPr>
        <w:t>为贯彻落实中央深改委审议通过的《深化政府采购制度改革方案》和《国务院办公厅关于聚焦企业关切进一步推动优化营商环境政策落实的通知》（国办发〔2018〕104号）有关要求，构建统一开放、竞争有序的政府采购市场体系，现就促进政府采购领域公平竞争、优化营商环境相关事项通知如下：</w:t>
      </w:r>
    </w:p>
    <w:p>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一、全面清理政府采购领域妨碍公平竞争的规定和做法</w:t>
      </w:r>
    </w:p>
    <w:p>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b w:val="0"/>
          <w:bCs w:val="0"/>
          <w:sz w:val="21"/>
          <w:szCs w:val="21"/>
          <w:lang w:val="en-US" w:eastAsia="zh-CN"/>
        </w:rPr>
      </w:pPr>
      <w:r>
        <w:rPr>
          <w:rFonts w:hint="eastAsia"/>
          <w:b w:val="0"/>
          <w:bCs w:val="0"/>
          <w:sz w:val="21"/>
          <w:szCs w:val="21"/>
          <w:lang w:val="en-US" w:eastAsia="zh-CN"/>
        </w:rPr>
        <w:t>各地区、各部门应当严格落实《中华人民共和国政府采购法》等相关法律法规的要求，依法保障各类市场主体平等参与政府采购活动的权利。要全面清理政府采购领域妨碍公平竞争的规定和做法，重点清理和纠正以下问题：</w:t>
      </w:r>
    </w:p>
    <w:p>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b w:val="0"/>
          <w:bCs w:val="0"/>
          <w:sz w:val="21"/>
          <w:szCs w:val="21"/>
          <w:lang w:val="en-US" w:eastAsia="zh-CN"/>
        </w:rPr>
      </w:pPr>
      <w:r>
        <w:rPr>
          <w:rFonts w:hint="eastAsia"/>
          <w:b w:val="0"/>
          <w:bCs w:val="0"/>
          <w:sz w:val="21"/>
          <w:szCs w:val="21"/>
          <w:lang w:val="en-US" w:eastAsia="zh-CN"/>
        </w:rPr>
        <w:t>（一）以供应商的所有制形式、组织形式或者股权结构，对供应商实施差别待遇或者歧视待遇，对民营企业设置不平等条款，对内资企业和外资企业在中国境内生产的产品、提供的服务区别对待；</w:t>
      </w:r>
    </w:p>
    <w:p>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b w:val="0"/>
          <w:bCs w:val="0"/>
          <w:sz w:val="21"/>
          <w:szCs w:val="21"/>
          <w:lang w:val="en-US" w:eastAsia="zh-CN"/>
        </w:rPr>
      </w:pPr>
      <w:r>
        <w:rPr>
          <w:rFonts w:hint="eastAsia"/>
          <w:b w:val="0"/>
          <w:bCs w:val="0"/>
          <w:sz w:val="21"/>
          <w:szCs w:val="21"/>
          <w:lang w:val="en-US" w:eastAsia="zh-CN"/>
        </w:rPr>
        <w:t>（二）除小额零星采购适用的协议供货、定点采购以及财政部另有规定的情形外，通过入围方式设置备选库、名录库、资格库作为参与政府采购活动的资格条件，妨碍供应商进入政府采购市场；</w:t>
      </w:r>
    </w:p>
    <w:p>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b w:val="0"/>
          <w:bCs w:val="0"/>
          <w:sz w:val="21"/>
          <w:szCs w:val="21"/>
          <w:lang w:val="en-US" w:eastAsia="zh-CN"/>
        </w:rPr>
      </w:pPr>
      <w:r>
        <w:rPr>
          <w:rFonts w:hint="eastAsia"/>
          <w:b w:val="0"/>
          <w:bCs w:val="0"/>
          <w:sz w:val="21"/>
          <w:szCs w:val="21"/>
          <w:lang w:val="en-US" w:eastAsia="zh-CN"/>
        </w:rPr>
        <w:t>（三）要求供应商在政府采购活动前进行不必要的登记、注册，或者要求设立分支机构，设置或者变相设置进入政府采购市场的障碍；</w:t>
      </w:r>
    </w:p>
    <w:p>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b w:val="0"/>
          <w:bCs w:val="0"/>
          <w:sz w:val="21"/>
          <w:szCs w:val="21"/>
          <w:lang w:val="en-US" w:eastAsia="zh-CN"/>
        </w:rPr>
      </w:pPr>
      <w:r>
        <w:rPr>
          <w:rFonts w:hint="eastAsia"/>
          <w:b w:val="0"/>
          <w:bCs w:val="0"/>
          <w:sz w:val="21"/>
          <w:szCs w:val="21"/>
          <w:lang w:val="en-US" w:eastAsia="zh-CN"/>
        </w:rPr>
        <w:t>（四）设置或者变相设置供应商规模、成立年限等门槛，限制供应商参与政府采购活动；</w:t>
      </w:r>
    </w:p>
    <w:p>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b w:val="0"/>
          <w:bCs w:val="0"/>
          <w:sz w:val="21"/>
          <w:szCs w:val="21"/>
          <w:lang w:val="en-US" w:eastAsia="zh-CN"/>
        </w:rPr>
      </w:pPr>
      <w:r>
        <w:rPr>
          <w:rFonts w:hint="eastAsia"/>
          <w:b w:val="0"/>
          <w:bCs w:val="0"/>
          <w:sz w:val="21"/>
          <w:szCs w:val="21"/>
          <w:lang w:val="en-US" w:eastAsia="zh-CN"/>
        </w:rPr>
        <w:t>（五）要求供应商购买指定软件，作为参加电子化政府采购活动的条件；</w:t>
      </w:r>
    </w:p>
    <w:p>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b w:val="0"/>
          <w:bCs w:val="0"/>
          <w:sz w:val="21"/>
          <w:szCs w:val="21"/>
          <w:lang w:val="en-US" w:eastAsia="zh-CN"/>
        </w:rPr>
      </w:pPr>
      <w:r>
        <w:rPr>
          <w:rFonts w:hint="eastAsia"/>
          <w:b w:val="0"/>
          <w:bCs w:val="0"/>
          <w:sz w:val="21"/>
          <w:szCs w:val="21"/>
          <w:lang w:val="en-US" w:eastAsia="zh-CN"/>
        </w:rPr>
        <w:t>（六）不依法及时、有效、完整发布或者提供采购项目信息，妨碍供应商参与政府采购活动；</w:t>
      </w:r>
    </w:p>
    <w:p>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b w:val="0"/>
          <w:bCs w:val="0"/>
          <w:sz w:val="21"/>
          <w:szCs w:val="21"/>
          <w:lang w:val="en-US" w:eastAsia="zh-CN"/>
        </w:rPr>
      </w:pPr>
      <w:r>
        <w:rPr>
          <w:rFonts w:hint="eastAsia"/>
          <w:b w:val="0"/>
          <w:bCs w:val="0"/>
          <w:sz w:val="21"/>
          <w:szCs w:val="21"/>
          <w:lang w:val="en-US" w:eastAsia="zh-CN"/>
        </w:rPr>
        <w:t>（七）强制要求采购人采用抓阄、摇号等随机方式或者比选方式选择采购代理机构，干预采购人自主选择采购代理机构；</w:t>
      </w:r>
    </w:p>
    <w:p>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b w:val="0"/>
          <w:bCs w:val="0"/>
          <w:sz w:val="21"/>
          <w:szCs w:val="21"/>
          <w:lang w:val="en-US" w:eastAsia="zh-CN"/>
        </w:rPr>
      </w:pPr>
      <w:r>
        <w:rPr>
          <w:rFonts w:hint="eastAsia"/>
          <w:b w:val="0"/>
          <w:bCs w:val="0"/>
          <w:sz w:val="21"/>
          <w:szCs w:val="21"/>
          <w:lang w:val="en-US" w:eastAsia="zh-CN"/>
        </w:rPr>
        <w:t>（八）设置没有法律法规依据的审批、备案、监管、处罚、收费等事项；</w:t>
      </w:r>
    </w:p>
    <w:p>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b w:val="0"/>
          <w:bCs w:val="0"/>
          <w:sz w:val="21"/>
          <w:szCs w:val="21"/>
          <w:lang w:val="en-US" w:eastAsia="zh-CN"/>
        </w:rPr>
      </w:pPr>
      <w:r>
        <w:rPr>
          <w:rFonts w:hint="eastAsia"/>
          <w:b w:val="0"/>
          <w:bCs w:val="0"/>
          <w:sz w:val="21"/>
          <w:szCs w:val="21"/>
          <w:lang w:val="en-US" w:eastAsia="zh-CN"/>
        </w:rPr>
        <w:t>（九）除《政府采购货物和服务招标投标管理办法》第六十八条规定的情形外，要求采购人采用随机方式确定中标、成交供应商；</w:t>
      </w:r>
    </w:p>
    <w:p>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b w:val="0"/>
          <w:bCs w:val="0"/>
          <w:sz w:val="21"/>
          <w:szCs w:val="21"/>
          <w:lang w:val="en-US" w:eastAsia="zh-CN"/>
        </w:rPr>
      </w:pPr>
      <w:r>
        <w:rPr>
          <w:rFonts w:hint="eastAsia"/>
          <w:b w:val="0"/>
          <w:bCs w:val="0"/>
          <w:sz w:val="21"/>
          <w:szCs w:val="21"/>
          <w:lang w:val="en-US" w:eastAsia="zh-CN"/>
        </w:rPr>
        <w:t>（十）违反法律法规相关规定的其他妨碍公平竞争的情形。</w:t>
      </w:r>
    </w:p>
    <w:p>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b w:val="0"/>
          <w:bCs w:val="0"/>
          <w:sz w:val="21"/>
          <w:szCs w:val="21"/>
          <w:lang w:val="en-US" w:eastAsia="zh-CN"/>
        </w:rPr>
      </w:pPr>
      <w:r>
        <w:rPr>
          <w:rFonts w:hint="eastAsia"/>
          <w:b w:val="0"/>
          <w:bCs w:val="0"/>
          <w:sz w:val="21"/>
          <w:szCs w:val="21"/>
          <w:lang w:val="en-US" w:eastAsia="zh-CN"/>
        </w:rPr>
        <w:t>各地区、各部门要抓紧清理政府采购领域妨碍公平竞争的规定和做法，有关清理结果要及时向社会公开，并于2019年10月31日前报送财政部。</w:t>
      </w:r>
    </w:p>
    <w:p>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二、严格执行公平竞争审查制度</w:t>
      </w:r>
    </w:p>
    <w:p>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b w:val="0"/>
          <w:bCs w:val="0"/>
          <w:sz w:val="21"/>
          <w:szCs w:val="21"/>
          <w:lang w:val="en-US" w:eastAsia="zh-CN"/>
        </w:rPr>
      </w:pPr>
      <w:r>
        <w:rPr>
          <w:rFonts w:hint="eastAsia"/>
          <w:b w:val="0"/>
          <w:bCs w:val="0"/>
          <w:sz w:val="21"/>
          <w:szCs w:val="21"/>
          <w:lang w:val="en-US" w:eastAsia="zh-CN"/>
        </w:rPr>
        <w:t>各地区、各部门制定涉及市场主体的政府采购制度办法，要严格执行公平竞争审查制度，充分听取市场主体和相关行业协会商会意见，评估对市场竞争的影响，防止出现排除、限制市场竞争问题。重点审查制度办法是否设置不合理和歧视性的准入条件排斥潜在供应商参与政府采购活动，是否设置没有法律法规依据的行政审批或者具有审批性质的备案，是否违规给予特定供应商优惠待遇等。经审查认为不具有排除、限制竞争效果的，可以颁布实施；具有排除、限制竞争效果的，应当不予出台或者调整至符合相关要求后出台；未经公平竞争审查的，不得出台。</w:t>
      </w:r>
    </w:p>
    <w:p>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b w:val="0"/>
          <w:bCs w:val="0"/>
          <w:sz w:val="21"/>
          <w:szCs w:val="21"/>
          <w:lang w:val="en-US" w:eastAsia="zh-CN"/>
        </w:rPr>
      </w:pPr>
      <w:r>
        <w:rPr>
          <w:rFonts w:hint="eastAsia"/>
          <w:b w:val="0"/>
          <w:bCs w:val="0"/>
          <w:sz w:val="21"/>
          <w:szCs w:val="21"/>
          <w:lang w:val="en-US" w:eastAsia="zh-CN"/>
        </w:rPr>
        <w:t>在政府采购相关制度办法实施过程中，应当定期或者适时评估其对全国统一市场和公平竞争的影响，对妨碍统一市场和公平竞争的，要及时修改完善或者予以废止。</w:t>
      </w:r>
    </w:p>
    <w:p>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三、加强政府采购执行管理</w:t>
      </w:r>
    </w:p>
    <w:p>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b w:val="0"/>
          <w:bCs w:val="0"/>
          <w:sz w:val="21"/>
          <w:szCs w:val="21"/>
          <w:lang w:val="en-US" w:eastAsia="zh-CN"/>
        </w:rPr>
      </w:pPr>
      <w:r>
        <w:rPr>
          <w:rFonts w:hint="eastAsia"/>
          <w:b w:val="0"/>
          <w:bCs w:val="0"/>
          <w:sz w:val="21"/>
          <w:szCs w:val="21"/>
          <w:lang w:val="en-US" w:eastAsia="zh-CN"/>
        </w:rPr>
        <w:t>优化采购活动办事程序。对于供应商法人代表已经出具委托书的，不得要求供应商法人代表亲自领购采购文件或者到场参加开标、谈判等。对于采购人、采购代理机构可以通过互联网或者相关信息系统查询的信息，不得要求供应商提供。除必要的原件核对外，对于供应商能够在线提供的材料，不得要求供应商同时提供纸质材料。对于供应商依照规定提交各类声明函、承诺函的，不得要求其再提供有关部门出具的相关证明文件。</w:t>
      </w:r>
    </w:p>
    <w:p>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b w:val="0"/>
          <w:bCs w:val="0"/>
          <w:sz w:val="21"/>
          <w:szCs w:val="21"/>
          <w:lang w:val="en-US" w:eastAsia="zh-CN"/>
        </w:rPr>
      </w:pPr>
      <w:r>
        <w:rPr>
          <w:rFonts w:hint="eastAsia"/>
          <w:b w:val="0"/>
          <w:bCs w:val="0"/>
          <w:sz w:val="21"/>
          <w:szCs w:val="21"/>
          <w:lang w:val="en-US" w:eastAsia="zh-CN"/>
        </w:rPr>
        <w:t>细化采购活动执行要求。采购人允许采用分包方式履行合同的，应当在采购文件中明确可以分包履行的具体内容、金额或者比例。采购人、采购代理机构对投标（响应）文件的格式、形式要求应当简化明确，不得因装订、纸张、文件排序等非实质性的格式、形式问题限制和影响供应商投标（响应）。实现电子化采购的，采购人、采购代理机构应当向供应商免费提供电子采购文件；暂未实现电子化采购的，鼓励采购人、采购代理机构向供应商免费提供纸质采购文件。</w:t>
      </w:r>
    </w:p>
    <w:p>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b w:val="0"/>
          <w:bCs w:val="0"/>
          <w:sz w:val="21"/>
          <w:szCs w:val="21"/>
          <w:lang w:val="en-US" w:eastAsia="zh-CN"/>
        </w:rPr>
      </w:pPr>
      <w:r>
        <w:rPr>
          <w:rFonts w:hint="eastAsia"/>
          <w:b w:val="0"/>
          <w:bCs w:val="0"/>
          <w:sz w:val="21"/>
          <w:szCs w:val="21"/>
          <w:lang w:val="en-US" w:eastAsia="zh-CN"/>
        </w:rPr>
        <w:t>规范保证金收取和退还。采购人、采购代理机构应当允许供应商自主选择以支票、汇票、本票、保函等非现金形式缴纳或提交保证金。收取投标（响应）保证金的，采购人、采购代理机构约定的到账（保函提交）截止时间应当与投标（响应）截止时间一致，并按照规定及时退还供应商。收取履约保证金的，应当在采购合同中约定履约保证金退还的方式、时间、条件和不予退还的情形，明确逾期退还履约保证金的违约责任。采购人、采购代理机构不得收取没有法律法规依据的保证金。</w:t>
      </w:r>
    </w:p>
    <w:p>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b w:val="0"/>
          <w:bCs w:val="0"/>
          <w:sz w:val="21"/>
          <w:szCs w:val="21"/>
          <w:lang w:val="en-US" w:eastAsia="zh-CN"/>
        </w:rPr>
      </w:pPr>
      <w:r>
        <w:rPr>
          <w:rFonts w:hint="eastAsia"/>
          <w:b w:val="0"/>
          <w:bCs w:val="0"/>
          <w:sz w:val="21"/>
          <w:szCs w:val="21"/>
          <w:lang w:val="en-US" w:eastAsia="zh-CN"/>
        </w:rPr>
        <w:t>及时支付采购资金。政府采购合同应当约定资金支付的方式、时间和条件，明确逾期支付资金的违约责任。对于满足合同约定支付条件的，采购人应当自收到发票后30日内将资金支付到合同约定的供应商账户，不得以机构变动、人员更替、政策调整等为由延迟付款，不得将采购文件和合同中未规定的义务作为向供应商付款的条件。</w:t>
      </w:r>
    </w:p>
    <w:p>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b w:val="0"/>
          <w:bCs w:val="0"/>
          <w:sz w:val="21"/>
          <w:szCs w:val="21"/>
          <w:lang w:val="en-US" w:eastAsia="zh-CN"/>
        </w:rPr>
      </w:pPr>
      <w:r>
        <w:rPr>
          <w:rFonts w:hint="eastAsia"/>
          <w:b w:val="0"/>
          <w:bCs w:val="0"/>
          <w:sz w:val="21"/>
          <w:szCs w:val="21"/>
          <w:lang w:val="en-US" w:eastAsia="zh-CN"/>
        </w:rPr>
        <w:t>完善对供应商的利益损害赔偿和补偿机制。采购人和供应商应当在政府采购合同中明确约定双方的违约责任。对于因采购人原因导致变更、中止或者终止政府采购合同的，采购人应当依照合同约定对供应商受到的损失予以赔偿或者补偿。</w:t>
      </w:r>
    </w:p>
    <w:p>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四、加快推进电子化政府采购</w:t>
      </w:r>
    </w:p>
    <w:p>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b w:val="0"/>
          <w:bCs w:val="0"/>
          <w:sz w:val="21"/>
          <w:szCs w:val="21"/>
          <w:lang w:val="en-US" w:eastAsia="zh-CN"/>
        </w:rPr>
      </w:pPr>
      <w:r>
        <w:rPr>
          <w:rFonts w:hint="eastAsia"/>
          <w:b w:val="0"/>
          <w:bCs w:val="0"/>
          <w:sz w:val="21"/>
          <w:szCs w:val="21"/>
          <w:lang w:val="en-US" w:eastAsia="zh-CN"/>
        </w:rPr>
        <w:t>推进采购项目电子化实施。要加快完善电子化政府采购平台的网上交易功能，实现在线发布采购公告、提供采购文件、提交投标（响应）文件，实行电子开标、电子评审。逐步建立电子化政府采购平台与财政业务、采购单位内部管理等信息系统的衔接，完善和优化合同签订、履约验收、信用评价、用户反馈、提交发票、资金支付等线上流程。</w:t>
      </w:r>
    </w:p>
    <w:p>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b w:val="0"/>
          <w:bCs w:val="0"/>
          <w:sz w:val="21"/>
          <w:szCs w:val="21"/>
          <w:lang w:val="en-US" w:eastAsia="zh-CN"/>
        </w:rPr>
      </w:pPr>
      <w:r>
        <w:rPr>
          <w:rFonts w:hint="eastAsia"/>
          <w:b w:val="0"/>
          <w:bCs w:val="0"/>
          <w:sz w:val="21"/>
          <w:szCs w:val="21"/>
          <w:lang w:val="en-US" w:eastAsia="zh-CN"/>
        </w:rPr>
        <w:t>加快实施“互联网+政府采购”行动。积极推进电子化政府采购平台和电子卖场建设，建立健全统一的技术标准和数据规范，逐步实现全国范围内的互联互通，推动与公共资源交易平台数据共享，提升供应商参与政府采购活动的便利程度。</w:t>
      </w:r>
    </w:p>
    <w:p>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五、进一步提升政府采购透明度</w:t>
      </w:r>
    </w:p>
    <w:p>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b w:val="0"/>
          <w:bCs w:val="0"/>
          <w:sz w:val="21"/>
          <w:szCs w:val="21"/>
          <w:lang w:val="en-US" w:eastAsia="zh-CN"/>
        </w:rPr>
      </w:pPr>
      <w:r>
        <w:rPr>
          <w:rFonts w:hint="eastAsia"/>
          <w:b w:val="0"/>
          <w:bCs w:val="0"/>
          <w:sz w:val="21"/>
          <w:szCs w:val="21"/>
          <w:lang w:val="en-US" w:eastAsia="zh-CN"/>
        </w:rPr>
        <w:t>加强政府采购透明度建设。完善政府采购信息发布平台服务功能。中国政府采购网及地方分网等政府采购信息发布平台应当提供便捷、免费的在线检索服务，向市场主体无偿提供所有依法公开的政府采购信息。推进开标活动对外公开，在保证正常开标秩序的前提下，允许除投标人及其代表之外的其他人员观摩开标活动。</w:t>
      </w:r>
    </w:p>
    <w:p>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b w:val="0"/>
          <w:bCs w:val="0"/>
          <w:sz w:val="21"/>
          <w:szCs w:val="21"/>
          <w:lang w:val="en-US" w:eastAsia="zh-CN"/>
        </w:rPr>
      </w:pPr>
      <w:r>
        <w:rPr>
          <w:rFonts w:hint="eastAsia"/>
          <w:b w:val="0"/>
          <w:bCs w:val="0"/>
          <w:sz w:val="21"/>
          <w:szCs w:val="21"/>
          <w:lang w:val="en-US" w:eastAsia="zh-CN"/>
        </w:rPr>
        <w:t>推进采购意向公开。采购意向包括主要采购项目、采购内容及需求概况、预算金额、预计采购时间等。为便于供应商提前了解采购信息，各地区、各部门应当创造条件积极推进采购意向公开（涉密信息除外）。自2020年起，选择部分中央部门和地方开展公开采购意向试点。在试点基础上，逐步实现各级预算单位采购意向公开。</w:t>
      </w:r>
    </w:p>
    <w:p>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六、完善政府采购质疑投诉和行政裁决机制</w:t>
      </w:r>
    </w:p>
    <w:p>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b w:val="0"/>
          <w:bCs w:val="0"/>
          <w:sz w:val="21"/>
          <w:szCs w:val="21"/>
          <w:lang w:val="en-US" w:eastAsia="zh-CN"/>
        </w:rPr>
      </w:pPr>
      <w:r>
        <w:rPr>
          <w:rFonts w:hint="eastAsia"/>
          <w:b w:val="0"/>
          <w:bCs w:val="0"/>
          <w:sz w:val="21"/>
          <w:szCs w:val="21"/>
          <w:lang w:val="en-US" w:eastAsia="zh-CN"/>
        </w:rPr>
        <w:t>畅通供应商质疑投诉渠道。研究建立与“互联网+政府采购”相适应的快速裁决通道，为供应商提供标准统一、高效便捷的维权服务。对供应商提出的质疑和投诉，采购人、采购代理机构和各级财政部门应当依法及时答复和处理。完善质疑答复内部控制制度，有条件的采购人和集中采购机构应当实现政府采购质疑答复岗位与操作执行岗位相分离，进一步健全政府采购质疑投诉处理机制。</w:t>
      </w:r>
    </w:p>
    <w:p>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b w:val="0"/>
          <w:bCs w:val="0"/>
          <w:sz w:val="21"/>
          <w:szCs w:val="21"/>
          <w:lang w:val="en-US" w:eastAsia="zh-CN"/>
        </w:rPr>
      </w:pPr>
      <w:r>
        <w:rPr>
          <w:rFonts w:hint="eastAsia"/>
          <w:b w:val="0"/>
          <w:bCs w:val="0"/>
          <w:sz w:val="21"/>
          <w:szCs w:val="21"/>
          <w:lang w:val="en-US" w:eastAsia="zh-CN"/>
        </w:rPr>
        <w:t>依法依规实施行政处罚。各级财政部门实施政府采购行政处罚，应当依法保障当事人的告知权、陈述权、申辩权、听证权等，保证程序合法。坚持处罚和教育相结合的原则，正确适用和区分从轻处罚、减轻处罚和不予处罚情形，作出的行政处罚应与违法行为的事实、性质、情节以及社会危害程度相当。</w:t>
      </w:r>
    </w:p>
    <w:p>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b w:val="0"/>
          <w:bCs w:val="0"/>
          <w:sz w:val="21"/>
          <w:szCs w:val="21"/>
          <w:lang w:val="en-US" w:eastAsia="zh-CN"/>
        </w:rPr>
      </w:pPr>
      <w:r>
        <w:rPr>
          <w:rFonts w:hint="eastAsia"/>
          <w:b w:val="0"/>
          <w:bCs w:val="0"/>
          <w:sz w:val="21"/>
          <w:szCs w:val="21"/>
          <w:lang w:val="en-US" w:eastAsia="zh-CN"/>
        </w:rPr>
        <w:t>各地区、各部门要充分认识维护政府采购公平竞争市场秩序、优化政府采购营商环境的重要意义，加强组织领导，明确工作责任，周密安排部署，强化监督检查，确保各项要求落实到位。</w:t>
      </w:r>
    </w:p>
    <w:p>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b w:val="0"/>
          <w:bCs w:val="0"/>
          <w:sz w:val="21"/>
          <w:szCs w:val="21"/>
          <w:lang w:val="en-US" w:eastAsia="zh-CN"/>
        </w:rPr>
      </w:pPr>
      <w:r>
        <w:rPr>
          <w:rFonts w:hint="eastAsia"/>
          <w:b w:val="0"/>
          <w:bCs w:val="0"/>
          <w:sz w:val="21"/>
          <w:szCs w:val="21"/>
          <w:lang w:val="en-US" w:eastAsia="zh-CN"/>
        </w:rPr>
        <w:t>本通知自2019年9月1日起施行。</w:t>
      </w:r>
    </w:p>
    <w:p>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right"/>
        <w:textAlignment w:val="auto"/>
        <w:rPr>
          <w:rFonts w:hint="eastAsia"/>
          <w:b w:val="0"/>
          <w:bCs w:val="0"/>
          <w:sz w:val="21"/>
          <w:szCs w:val="21"/>
          <w:lang w:val="en-US" w:eastAsia="zh-CN"/>
        </w:rPr>
      </w:pPr>
      <w:r>
        <w:rPr>
          <w:rFonts w:hint="eastAsia"/>
          <w:b w:val="0"/>
          <w:bCs w:val="0"/>
          <w:sz w:val="21"/>
          <w:szCs w:val="21"/>
          <w:lang w:val="en-US" w:eastAsia="zh-CN"/>
        </w:rPr>
        <w:t>　　财  政  部</w:t>
      </w:r>
    </w:p>
    <w:p>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right"/>
        <w:textAlignment w:val="auto"/>
        <w:rPr>
          <w:rFonts w:hint="eastAsia"/>
          <w:b w:val="0"/>
          <w:bCs w:val="0"/>
          <w:sz w:val="21"/>
          <w:szCs w:val="21"/>
          <w:lang w:val="en-US" w:eastAsia="zh-CN"/>
        </w:rPr>
      </w:pPr>
      <w:r>
        <w:rPr>
          <w:rFonts w:hint="eastAsia"/>
          <w:b w:val="0"/>
          <w:bCs w:val="0"/>
          <w:sz w:val="21"/>
          <w:szCs w:val="21"/>
          <w:lang w:val="en-US" w:eastAsia="zh-CN"/>
        </w:rPr>
        <w:t>　　2019年7月26日</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vanish/>
          <w:sz w:val="19"/>
          <w:szCs w:val="19"/>
        </w:rPr>
      </w:pPr>
      <w:r>
        <w:rPr>
          <w:rFonts w:hint="eastAsia" w:ascii="宋体" w:hAnsi="宋体" w:eastAsia="宋体" w:cs="宋体"/>
          <w:vanish/>
          <w:kern w:val="0"/>
          <w:sz w:val="19"/>
          <w:szCs w:val="19"/>
          <w:lang w:val="en-US" w:eastAsia="zh-CN" w:bidi="ar"/>
        </w:rPr>
        <w:t xml:space="preserve">  </w:t>
      </w:r>
    </w:p>
    <w:p>
      <w:pPr>
        <w:keepNext w:val="0"/>
        <w:keepLines w:val="0"/>
        <w:pageBreakBefore w:val="0"/>
        <w:widowControl/>
        <w:suppressLineNumbers w:val="0"/>
        <w:tabs>
          <w:tab w:val="left" w:pos="807"/>
        </w:tabs>
        <w:kinsoku/>
        <w:wordWrap/>
        <w:overflowPunct/>
        <w:topLinePunct w:val="0"/>
        <w:autoSpaceDE/>
        <w:autoSpaceDN/>
        <w:bidi w:val="0"/>
        <w:adjustRightInd/>
        <w:snapToGrid/>
        <w:spacing w:line="360" w:lineRule="auto"/>
        <w:jc w:val="left"/>
        <w:textAlignment w:val="auto"/>
        <w:rPr>
          <w:rFonts w:hint="eastAsia" w:ascii="宋体" w:hAnsi="宋体" w:eastAsia="宋体" w:cs="宋体"/>
          <w:vanish/>
          <w:sz w:val="19"/>
          <w:szCs w:val="19"/>
        </w:rPr>
      </w:pPr>
      <w:r>
        <w:rPr>
          <w:rFonts w:hint="eastAsia" w:ascii="宋体" w:hAnsi="宋体" w:eastAsia="宋体" w:cs="宋体"/>
          <w:vanish/>
          <w:sz w:val="19"/>
          <w:szCs w:val="19"/>
        </w:rPr>
        <w:t>附件下载:</w:t>
      </w:r>
      <w:r>
        <w:rPr>
          <w:vanish/>
        </w:rPr>
        <w:tab/>
      </w:r>
      <w:r>
        <w:rPr>
          <w:rFonts w:hint="eastAsia" w:ascii="宋体" w:hAnsi="宋体" w:eastAsia="宋体" w:cs="宋体"/>
          <w:vanish/>
          <w:kern w:val="0"/>
          <w:sz w:val="19"/>
          <w:szCs w:val="19"/>
          <w:lang w:val="en-US" w:eastAsia="zh-CN" w:bidi="ar"/>
        </w:rPr>
        <w:t xml:space="preserve">  </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4"/>
          <w:szCs w:val="14"/>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4"/>
          <w:szCs w:val="14"/>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4"/>
          <w:szCs w:val="14"/>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4"/>
          <w:szCs w:val="14"/>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4"/>
          <w:szCs w:val="14"/>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4"/>
          <w:szCs w:val="14"/>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4"/>
          <w:szCs w:val="14"/>
        </w:rPr>
      </w:pPr>
    </w:p>
    <w:p>
      <w:pPr>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sz w:val="30"/>
          <w:szCs w:val="30"/>
        </w:rPr>
      </w:pPr>
      <w:bookmarkStart w:id="178" w:name="_Toc1195"/>
      <w:r>
        <w:rPr>
          <w:rFonts w:hint="eastAsia" w:ascii="宋体" w:hAnsi="宋体" w:eastAsia="宋体" w:cs="宋体"/>
          <w:b/>
          <w:bCs/>
          <w:sz w:val="30"/>
          <w:szCs w:val="30"/>
        </w:rPr>
        <w:t>关于印发《2019年降低企业杠杆率工作要点》的通知</w:t>
      </w:r>
      <w:bookmarkEnd w:id="178"/>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w:t>
      </w:r>
    </w:p>
    <w:p>
      <w:pPr>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val="0"/>
          <w:bCs w:val="0"/>
          <w:sz w:val="21"/>
          <w:szCs w:val="21"/>
        </w:rPr>
      </w:pPr>
      <w:bookmarkStart w:id="179" w:name="_Toc28307"/>
      <w:r>
        <w:rPr>
          <w:rFonts w:hint="eastAsia" w:ascii="宋体" w:hAnsi="宋体" w:eastAsia="宋体" w:cs="宋体"/>
          <w:b w:val="0"/>
          <w:bCs w:val="0"/>
          <w:sz w:val="21"/>
          <w:szCs w:val="21"/>
        </w:rPr>
        <w:t>发改财金〔2019〕1276号</w:t>
      </w:r>
      <w:bookmarkEnd w:id="179"/>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各省、自治区、直辖市、计划单列市人民政府，新疆生产建设兵团，积极稳妥降低企业杠杆率工作部际联席会议各成员部门和单位、审计署，国有大型商业银行、股份制商业银行：</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为深入学习习近平新时代中国特色社会主义思想，全面贯彻党的十九大和十九届二中、三中全会精神，认真落实中央经济工作会议和政府工作报告各项部署，打好防范化解重大风险攻坚战，使宏观杠杆率得到有效控制。经国务院同意，现将</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"http://www.ndrc.gov.cn/zcfb/zcfbtz/201907/W020190729485967030501.pdf" \t "http://www.ndrc.gov.cn/zcfb/zcfbtz/201907/_blank"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《2019年降低企业杠杆率工作要点》</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t>印发你们，请认真组织实施，抓好任务落实。</w:t>
      </w:r>
    </w:p>
    <w:p>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国家发展改革委</w:t>
      </w:r>
    </w:p>
    <w:p>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人　民　银　行</w:t>
      </w:r>
    </w:p>
    <w:p>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财　　政　　部</w:t>
      </w:r>
    </w:p>
    <w:p>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银　保　监　会</w:t>
      </w:r>
    </w:p>
    <w:p>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2019年7月26日</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eastAsia="宋体" w:cs="宋体"/>
          <w:sz w:val="24"/>
          <w:szCs w:val="24"/>
        </w:rPr>
      </w:pPr>
      <w:r>
        <w:rPr>
          <w:rFonts w:ascii="宋体" w:hAnsi="宋体" w:eastAsia="宋体" w:cs="宋体"/>
          <w:sz w:val="24"/>
          <w:szCs w:val="24"/>
        </w:rPr>
        <w:t xml:space="preserve">附件 </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eastAsia="宋体" w:cs="宋体"/>
          <w:b/>
          <w:bCs/>
          <w:sz w:val="30"/>
          <w:szCs w:val="30"/>
        </w:rPr>
      </w:pPr>
      <w:r>
        <w:rPr>
          <w:rFonts w:ascii="宋体" w:hAnsi="宋体" w:eastAsia="宋体" w:cs="宋体"/>
          <w:b/>
          <w:bCs/>
          <w:sz w:val="30"/>
          <w:szCs w:val="30"/>
        </w:rPr>
        <w:t xml:space="preserve">2019 年降低企业杠杆率工作要点 </w:t>
      </w:r>
    </w:p>
    <w:p>
      <w:pPr>
        <w:keepNext w:val="0"/>
        <w:keepLines w:val="0"/>
        <w:pageBreakBefore w:val="0"/>
        <w:kinsoku/>
        <w:wordWrap/>
        <w:overflowPunct/>
        <w:topLinePunct w:val="0"/>
        <w:autoSpaceDE/>
        <w:autoSpaceDN/>
        <w:bidi w:val="0"/>
        <w:adjustRightInd/>
        <w:snapToGrid/>
        <w:spacing w:line="360" w:lineRule="auto"/>
        <w:ind w:left="0" w:leftChars="0" w:firstLine="367" w:firstLineChars="175"/>
        <w:jc w:val="left"/>
        <w:textAlignment w:val="auto"/>
        <w:rPr>
          <w:rFonts w:ascii="宋体" w:hAnsi="宋体" w:eastAsia="宋体" w:cs="宋体"/>
          <w:sz w:val="21"/>
          <w:szCs w:val="21"/>
        </w:rPr>
      </w:pPr>
      <w:r>
        <w:rPr>
          <w:rFonts w:ascii="宋体" w:hAnsi="宋体" w:eastAsia="宋体" w:cs="宋体"/>
          <w:sz w:val="21"/>
          <w:szCs w:val="21"/>
        </w:rPr>
        <w:t xml:space="preserve">为深入学习贯彻习近平新时代中国特色社会主义思想和党的 十九大精神，认真落实中央经济工作会议和政府工作报告各项部 署，按照《国务院关于积极稳妥降低企业杠杆率的意见》（国发 〔2016〕54 号）、《中共中央办公厅 国务院办公厅印发〈关于加强 国有企业资产负债约束的指导意见〉的通知》要求，现提出 2019 年降低企业杠杆率工作要点如下。 </w:t>
      </w:r>
    </w:p>
    <w:p>
      <w:pPr>
        <w:keepNext w:val="0"/>
        <w:keepLines w:val="0"/>
        <w:pageBreakBefore w:val="0"/>
        <w:kinsoku/>
        <w:wordWrap/>
        <w:overflowPunct/>
        <w:topLinePunct w:val="0"/>
        <w:autoSpaceDE/>
        <w:autoSpaceDN/>
        <w:bidi w:val="0"/>
        <w:adjustRightInd/>
        <w:snapToGrid/>
        <w:spacing w:line="360" w:lineRule="auto"/>
        <w:ind w:left="0" w:leftChars="0" w:firstLine="367" w:firstLineChars="175"/>
        <w:jc w:val="left"/>
        <w:textAlignment w:val="auto"/>
        <w:rPr>
          <w:rFonts w:hint="eastAsia" w:ascii="黑体" w:hAnsi="黑体" w:eastAsia="黑体" w:cs="黑体"/>
          <w:sz w:val="21"/>
          <w:szCs w:val="21"/>
        </w:rPr>
      </w:pPr>
      <w:r>
        <w:rPr>
          <w:rFonts w:hint="eastAsia" w:ascii="黑体" w:hAnsi="黑体" w:eastAsia="黑体" w:cs="黑体"/>
          <w:sz w:val="21"/>
          <w:szCs w:val="21"/>
        </w:rPr>
        <w:t xml:space="preserve">一、加大力度推动市场化法治化债转股增量扩面提质 </w:t>
      </w:r>
    </w:p>
    <w:p>
      <w:pPr>
        <w:keepNext w:val="0"/>
        <w:keepLines w:val="0"/>
        <w:pageBreakBefore w:val="0"/>
        <w:kinsoku/>
        <w:wordWrap/>
        <w:overflowPunct/>
        <w:topLinePunct w:val="0"/>
        <w:autoSpaceDE/>
        <w:autoSpaceDN/>
        <w:bidi w:val="0"/>
        <w:adjustRightInd/>
        <w:snapToGrid/>
        <w:spacing w:line="360" w:lineRule="auto"/>
        <w:ind w:left="0" w:leftChars="0" w:firstLine="367" w:firstLineChars="175"/>
        <w:jc w:val="left"/>
        <w:textAlignment w:val="auto"/>
        <w:rPr>
          <w:rFonts w:hint="eastAsia" w:ascii="楷体" w:hAnsi="楷体" w:eastAsia="楷体" w:cs="楷体"/>
          <w:sz w:val="21"/>
          <w:szCs w:val="21"/>
        </w:rPr>
      </w:pPr>
      <w:r>
        <w:rPr>
          <w:rFonts w:hint="eastAsia" w:ascii="楷体" w:hAnsi="楷体" w:eastAsia="楷体" w:cs="楷体"/>
          <w:sz w:val="21"/>
          <w:szCs w:val="21"/>
        </w:rPr>
        <w:t>（一）推动金融资产投资公司发挥市场化债转股主力军作用。</w:t>
      </w:r>
      <w:r>
        <w:rPr>
          <w:rFonts w:ascii="宋体" w:hAnsi="宋体" w:eastAsia="宋体" w:cs="宋体"/>
          <w:sz w:val="21"/>
          <w:szCs w:val="21"/>
        </w:rPr>
        <w:t xml:space="preserve"> 设立金融资产投资公司的商业银行要进一步加强行司联动，扩大金融资产投资公司编制，充实金融资产投资人才队伍，建立符合股权 投资特点的绩效评价和薪酬管理体系。</w:t>
      </w:r>
      <w:r>
        <w:rPr>
          <w:rFonts w:hint="eastAsia" w:ascii="楷体" w:hAnsi="楷体" w:eastAsia="楷体" w:cs="楷体"/>
          <w:sz w:val="21"/>
          <w:szCs w:val="21"/>
        </w:rPr>
        <w:t xml:space="preserve">（各设立金融资产投资公司 的商业银行负责，完成时间：2019 年 9 月底前） </w:t>
      </w:r>
    </w:p>
    <w:p>
      <w:pPr>
        <w:keepNext w:val="0"/>
        <w:keepLines w:val="0"/>
        <w:pageBreakBefore w:val="0"/>
        <w:kinsoku/>
        <w:wordWrap/>
        <w:overflowPunct/>
        <w:topLinePunct w:val="0"/>
        <w:autoSpaceDE/>
        <w:autoSpaceDN/>
        <w:bidi w:val="0"/>
        <w:adjustRightInd/>
        <w:snapToGrid/>
        <w:spacing w:line="360" w:lineRule="auto"/>
        <w:ind w:left="0" w:leftChars="0" w:firstLine="367" w:firstLineChars="175"/>
        <w:jc w:val="left"/>
        <w:textAlignment w:val="auto"/>
        <w:rPr>
          <w:rFonts w:hint="eastAsia" w:ascii="楷体" w:hAnsi="楷体" w:eastAsia="楷体" w:cs="楷体"/>
          <w:sz w:val="21"/>
          <w:szCs w:val="21"/>
        </w:rPr>
      </w:pPr>
      <w:r>
        <w:rPr>
          <w:rFonts w:hint="eastAsia" w:ascii="楷体" w:hAnsi="楷体" w:eastAsia="楷体" w:cs="楷体"/>
          <w:sz w:val="21"/>
          <w:szCs w:val="21"/>
        </w:rPr>
        <w:t>（二）拓宽社会资本参与市场化债转股渠道。</w:t>
      </w:r>
      <w:r>
        <w:rPr>
          <w:rFonts w:ascii="宋体" w:hAnsi="宋体" w:eastAsia="宋体" w:cs="宋体"/>
          <w:sz w:val="21"/>
          <w:szCs w:val="21"/>
        </w:rPr>
        <w:t>出台金融资产投 资公司发起设立资管产品备案制度。（银保监会负责，完成时间： 2019 年 9 月底前）将市场化债转股资管产品列入保险资金等长期限 资金允许投资的白名单。</w:t>
      </w:r>
      <w:r>
        <w:rPr>
          <w:rFonts w:hint="eastAsia" w:ascii="楷体" w:hAnsi="楷体" w:eastAsia="楷体" w:cs="楷体"/>
          <w:sz w:val="21"/>
          <w:szCs w:val="21"/>
        </w:rPr>
        <w:t>（银保监会负责，完成时间：2019 年 9 月 底前）</w:t>
      </w:r>
      <w:r>
        <w:rPr>
          <w:rFonts w:hint="eastAsia" w:asciiTheme="minorEastAsia" w:hAnsiTheme="minorEastAsia" w:eastAsiaTheme="minorEastAsia" w:cstheme="minorEastAsia"/>
          <w:sz w:val="21"/>
          <w:szCs w:val="21"/>
        </w:rPr>
        <w:t>探索提出允许在满足一定条件下公募资管产品依法合规参与优质企业债转股。</w:t>
      </w:r>
      <w:r>
        <w:rPr>
          <w:rFonts w:hint="eastAsia" w:ascii="楷体" w:hAnsi="楷体" w:eastAsia="楷体" w:cs="楷体"/>
          <w:sz w:val="21"/>
          <w:szCs w:val="21"/>
        </w:rPr>
        <w:t xml:space="preserve">（人民银行、银保监会、国家发展改革委、证监 会按职责分工负责，完成时间：2019 年底前） </w:t>
      </w:r>
    </w:p>
    <w:p>
      <w:pPr>
        <w:keepNext w:val="0"/>
        <w:keepLines w:val="0"/>
        <w:pageBreakBefore w:val="0"/>
        <w:kinsoku/>
        <w:wordWrap/>
        <w:overflowPunct/>
        <w:topLinePunct w:val="0"/>
        <w:autoSpaceDE/>
        <w:autoSpaceDN/>
        <w:bidi w:val="0"/>
        <w:adjustRightInd/>
        <w:snapToGrid/>
        <w:spacing w:line="360" w:lineRule="auto"/>
        <w:ind w:left="0" w:leftChars="0" w:firstLine="367" w:firstLineChars="175"/>
        <w:jc w:val="left"/>
        <w:textAlignment w:val="auto"/>
        <w:rPr>
          <w:rFonts w:hint="eastAsia" w:ascii="楷体" w:hAnsi="楷体" w:eastAsia="楷体" w:cs="楷体"/>
          <w:sz w:val="21"/>
          <w:szCs w:val="21"/>
        </w:rPr>
      </w:pPr>
      <w:r>
        <w:rPr>
          <w:rFonts w:hint="eastAsia" w:ascii="楷体" w:hAnsi="楷体" w:eastAsia="楷体" w:cs="楷体"/>
          <w:sz w:val="21"/>
          <w:szCs w:val="21"/>
        </w:rPr>
        <w:t>（三）加快股份制商业银行定向降准资金使用。</w:t>
      </w:r>
      <w:r>
        <w:rPr>
          <w:rFonts w:ascii="宋体" w:hAnsi="宋体" w:eastAsia="宋体" w:cs="宋体"/>
          <w:sz w:val="21"/>
          <w:szCs w:val="21"/>
        </w:rPr>
        <w:t>支持符合条件 的股份制商业银行利用所属具有股权投资功能的子公司、同一金融 控股集团的现有股权投资机构或拟开展合作的具有股权投资功能 的机构参与市场化债转股。</w:t>
      </w:r>
      <w:r>
        <w:rPr>
          <w:rFonts w:hint="eastAsia" w:ascii="楷体" w:hAnsi="楷体" w:eastAsia="楷体" w:cs="楷体"/>
          <w:sz w:val="21"/>
          <w:szCs w:val="21"/>
        </w:rPr>
        <w:t>（银保监会、国家发展改革委、人民银 行、财政部按职责分工负责，完成时间：持续推进）</w:t>
      </w:r>
      <w:r>
        <w:rPr>
          <w:rFonts w:hint="eastAsia" w:ascii="宋体" w:hAnsi="宋体" w:eastAsia="宋体" w:cs="宋体"/>
          <w:sz w:val="21"/>
          <w:szCs w:val="21"/>
        </w:rPr>
        <w:t>推动符合条件 的股份制商业银行单独或联合设立金融资产投资公司。（</w:t>
      </w:r>
      <w:r>
        <w:rPr>
          <w:rFonts w:hint="eastAsia" w:ascii="楷体" w:hAnsi="楷体" w:eastAsia="楷体" w:cs="楷体"/>
          <w:sz w:val="21"/>
          <w:szCs w:val="21"/>
        </w:rPr>
        <w:t>银保监会 负责，完成时间：持续推进）</w:t>
      </w:r>
    </w:p>
    <w:p>
      <w:pPr>
        <w:keepNext w:val="0"/>
        <w:keepLines w:val="0"/>
        <w:pageBreakBefore w:val="0"/>
        <w:kinsoku/>
        <w:wordWrap/>
        <w:overflowPunct/>
        <w:topLinePunct w:val="0"/>
        <w:autoSpaceDE/>
        <w:autoSpaceDN/>
        <w:bidi w:val="0"/>
        <w:adjustRightInd/>
        <w:snapToGrid/>
        <w:spacing w:line="360" w:lineRule="auto"/>
        <w:ind w:left="0" w:leftChars="0" w:firstLine="367" w:firstLineChars="175"/>
        <w:jc w:val="left"/>
        <w:textAlignment w:val="auto"/>
        <w:rPr>
          <w:rFonts w:hint="eastAsia" w:ascii="楷体" w:hAnsi="楷体" w:eastAsia="楷体" w:cs="楷体"/>
          <w:sz w:val="21"/>
          <w:szCs w:val="21"/>
        </w:rPr>
      </w:pPr>
      <w:r>
        <w:rPr>
          <w:rFonts w:ascii="宋体" w:hAnsi="宋体" w:eastAsia="宋体" w:cs="宋体"/>
          <w:sz w:val="21"/>
          <w:szCs w:val="21"/>
        </w:rPr>
        <w:t xml:space="preserve"> </w:t>
      </w:r>
      <w:r>
        <w:rPr>
          <w:rFonts w:hint="eastAsia" w:ascii="楷体" w:hAnsi="楷体" w:eastAsia="楷体" w:cs="楷体"/>
          <w:sz w:val="21"/>
          <w:szCs w:val="21"/>
        </w:rPr>
        <w:t>（四）加强对商业银行定向降准资金使用情况的评估考核。</w:t>
      </w:r>
      <w:r>
        <w:rPr>
          <w:rFonts w:ascii="宋体" w:hAnsi="宋体" w:eastAsia="宋体" w:cs="宋体"/>
          <w:sz w:val="21"/>
          <w:szCs w:val="21"/>
        </w:rPr>
        <w:t>进一步推动商业银行调动全行资源用好定向降准资金支持市场化债转股。</w:t>
      </w:r>
      <w:r>
        <w:rPr>
          <w:rFonts w:hint="eastAsia" w:ascii="楷体" w:hAnsi="楷体" w:eastAsia="楷体" w:cs="楷体"/>
          <w:sz w:val="21"/>
          <w:szCs w:val="21"/>
        </w:rPr>
        <w:t xml:space="preserve">（人民银行负责，完成时间：持续推进） </w:t>
      </w:r>
    </w:p>
    <w:p>
      <w:pPr>
        <w:keepNext w:val="0"/>
        <w:keepLines w:val="0"/>
        <w:pageBreakBefore w:val="0"/>
        <w:kinsoku/>
        <w:wordWrap/>
        <w:overflowPunct/>
        <w:topLinePunct w:val="0"/>
        <w:autoSpaceDE/>
        <w:autoSpaceDN/>
        <w:bidi w:val="0"/>
        <w:adjustRightInd/>
        <w:snapToGrid/>
        <w:spacing w:line="360" w:lineRule="auto"/>
        <w:ind w:left="0" w:leftChars="0" w:firstLine="367" w:firstLineChars="175"/>
        <w:jc w:val="left"/>
        <w:textAlignment w:val="auto"/>
        <w:rPr>
          <w:rFonts w:ascii="宋体" w:hAnsi="宋体" w:eastAsia="宋体" w:cs="宋体"/>
          <w:sz w:val="21"/>
          <w:szCs w:val="21"/>
        </w:rPr>
      </w:pPr>
      <w:r>
        <w:rPr>
          <w:rFonts w:hint="eastAsia" w:ascii="楷体" w:hAnsi="楷体" w:eastAsia="楷体" w:cs="楷体"/>
          <w:sz w:val="21"/>
          <w:szCs w:val="21"/>
        </w:rPr>
        <w:t>（五）采取多种措施解决市场化债转股资本占用过多问题。</w:t>
      </w:r>
      <w:r>
        <w:rPr>
          <w:rFonts w:ascii="宋体" w:hAnsi="宋体" w:eastAsia="宋体" w:cs="宋体"/>
          <w:sz w:val="21"/>
          <w:szCs w:val="21"/>
        </w:rPr>
        <w:t>支持商业银行发行永续债补充资本。鼓励外资依法合规入股金融资产 投资公司等债转股实施机构。</w:t>
      </w:r>
      <w:r>
        <w:rPr>
          <w:rFonts w:hint="eastAsia" w:ascii="楷体" w:hAnsi="楷体" w:eastAsia="楷体" w:cs="楷体"/>
          <w:sz w:val="21"/>
          <w:szCs w:val="21"/>
        </w:rPr>
        <w:t>（人民银行、银保监会按职责分工负 责，完成时间：持续推进）</w:t>
      </w:r>
      <w:r>
        <w:rPr>
          <w:rFonts w:ascii="宋体" w:hAnsi="宋体" w:eastAsia="宋体" w:cs="宋体"/>
          <w:sz w:val="21"/>
          <w:szCs w:val="21"/>
        </w:rPr>
        <w:t>妥善解决金融资产投资公司等机构持有 债转股股权风险权重较高、资本占用较多问题。</w:t>
      </w:r>
      <w:r>
        <w:rPr>
          <w:rFonts w:hint="eastAsia" w:ascii="楷体" w:hAnsi="楷体" w:eastAsia="楷体" w:cs="楷体"/>
          <w:sz w:val="21"/>
          <w:szCs w:val="21"/>
        </w:rPr>
        <w:t xml:space="preserve">（银保监会负责， 完成时间：2019 年底前） </w:t>
      </w:r>
    </w:p>
    <w:p>
      <w:pPr>
        <w:keepNext w:val="0"/>
        <w:keepLines w:val="0"/>
        <w:pageBreakBefore w:val="0"/>
        <w:kinsoku/>
        <w:wordWrap/>
        <w:overflowPunct/>
        <w:topLinePunct w:val="0"/>
        <w:autoSpaceDE/>
        <w:autoSpaceDN/>
        <w:bidi w:val="0"/>
        <w:adjustRightInd/>
        <w:snapToGrid/>
        <w:spacing w:line="360" w:lineRule="auto"/>
        <w:ind w:left="0" w:leftChars="0" w:firstLine="367" w:firstLineChars="175"/>
        <w:jc w:val="left"/>
        <w:textAlignment w:val="auto"/>
        <w:rPr>
          <w:rFonts w:hint="eastAsia" w:ascii="楷体" w:hAnsi="楷体" w:eastAsia="楷体" w:cs="楷体"/>
          <w:sz w:val="21"/>
          <w:szCs w:val="21"/>
        </w:rPr>
      </w:pPr>
      <w:r>
        <w:rPr>
          <w:rFonts w:hint="eastAsia" w:ascii="楷体" w:hAnsi="楷体" w:eastAsia="楷体" w:cs="楷体"/>
          <w:sz w:val="21"/>
          <w:szCs w:val="21"/>
        </w:rPr>
        <w:t>（六）加快推进市场化债转股资产交易。</w:t>
      </w:r>
      <w:r>
        <w:rPr>
          <w:rFonts w:ascii="宋体" w:hAnsi="宋体" w:eastAsia="宋体" w:cs="宋体"/>
          <w:sz w:val="21"/>
          <w:szCs w:val="21"/>
        </w:rPr>
        <w:t>推动具备条件的各类 交易场所依法合规开展转股资产交易，尽快选择若干家交易场所开 展相对集中交易试点。</w:t>
      </w:r>
      <w:r>
        <w:rPr>
          <w:rFonts w:hint="eastAsia" w:ascii="楷体" w:hAnsi="楷体" w:eastAsia="楷体" w:cs="楷体"/>
          <w:sz w:val="21"/>
          <w:szCs w:val="21"/>
        </w:rPr>
        <w:t xml:space="preserve">（人民银行、证监会按职责分工负责，完成 3 时间：2019 年底前） </w:t>
      </w:r>
    </w:p>
    <w:p>
      <w:pPr>
        <w:keepNext w:val="0"/>
        <w:keepLines w:val="0"/>
        <w:pageBreakBefore w:val="0"/>
        <w:kinsoku/>
        <w:wordWrap/>
        <w:overflowPunct/>
        <w:topLinePunct w:val="0"/>
        <w:autoSpaceDE/>
        <w:autoSpaceDN/>
        <w:bidi w:val="0"/>
        <w:adjustRightInd/>
        <w:snapToGrid/>
        <w:spacing w:line="360" w:lineRule="auto"/>
        <w:ind w:left="0" w:leftChars="0" w:firstLine="367" w:firstLineChars="175"/>
        <w:jc w:val="left"/>
        <w:textAlignment w:val="auto"/>
        <w:rPr>
          <w:rFonts w:ascii="宋体" w:hAnsi="宋体" w:eastAsia="宋体" w:cs="宋体"/>
          <w:sz w:val="21"/>
          <w:szCs w:val="21"/>
        </w:rPr>
      </w:pPr>
      <w:r>
        <w:rPr>
          <w:rFonts w:hint="eastAsia" w:ascii="楷体" w:hAnsi="楷体" w:eastAsia="楷体" w:cs="楷体"/>
          <w:sz w:val="21"/>
          <w:szCs w:val="21"/>
        </w:rPr>
        <w:t>（七）鼓励对优质企业开展市场化债转股。</w:t>
      </w:r>
      <w:r>
        <w:rPr>
          <w:rFonts w:ascii="宋体" w:hAnsi="宋体" w:eastAsia="宋体" w:cs="宋体"/>
          <w:sz w:val="21"/>
          <w:szCs w:val="21"/>
        </w:rPr>
        <w:t>鼓励对品牌知名度 高、市场竞争力强、经营运转正常的高杠杆优质企业或企业集团内 优质子公司及业务板块优先实施市场化债转股，增强优质企业资本 实力，降低债务风险，提高抗冲击能力。</w:t>
      </w:r>
      <w:r>
        <w:rPr>
          <w:rFonts w:hint="eastAsia" w:ascii="楷体" w:hAnsi="楷体" w:eastAsia="楷体" w:cs="楷体"/>
          <w:sz w:val="21"/>
          <w:szCs w:val="21"/>
        </w:rPr>
        <w:t xml:space="preserve">（国家发展改革委、人民银行、财政部、国务院国资委、银保监会按职责分工负责，完成时间：持续推进） </w:t>
      </w:r>
    </w:p>
    <w:p>
      <w:pPr>
        <w:keepNext w:val="0"/>
        <w:keepLines w:val="0"/>
        <w:pageBreakBefore w:val="0"/>
        <w:kinsoku/>
        <w:wordWrap/>
        <w:overflowPunct/>
        <w:topLinePunct w:val="0"/>
        <w:autoSpaceDE/>
        <w:autoSpaceDN/>
        <w:bidi w:val="0"/>
        <w:adjustRightInd/>
        <w:snapToGrid/>
        <w:spacing w:line="360" w:lineRule="auto"/>
        <w:ind w:left="0" w:leftChars="0" w:firstLine="367" w:firstLineChars="175"/>
        <w:jc w:val="left"/>
        <w:textAlignment w:val="auto"/>
        <w:rPr>
          <w:rFonts w:hint="eastAsia" w:ascii="楷体" w:hAnsi="楷体" w:eastAsia="楷体" w:cs="楷体"/>
          <w:sz w:val="21"/>
          <w:szCs w:val="21"/>
        </w:rPr>
      </w:pPr>
      <w:r>
        <w:rPr>
          <w:rFonts w:hint="eastAsia" w:ascii="楷体" w:hAnsi="楷体" w:eastAsia="楷体" w:cs="楷体"/>
          <w:sz w:val="21"/>
          <w:szCs w:val="21"/>
        </w:rPr>
        <w:t>（八）支持对民营企业实施市场化债转股。</w:t>
      </w:r>
      <w:r>
        <w:rPr>
          <w:rFonts w:ascii="宋体" w:hAnsi="宋体" w:eastAsia="宋体" w:cs="宋体"/>
          <w:sz w:val="21"/>
          <w:szCs w:val="21"/>
        </w:rPr>
        <w:t>鼓励和支持实施机 构对符合政策和条件的民营企业实施市场化债转股，降低民营企业 债务风险，促进民营经济发展。</w:t>
      </w:r>
      <w:r>
        <w:rPr>
          <w:rFonts w:hint="eastAsia" w:ascii="楷体" w:hAnsi="楷体" w:eastAsia="楷体" w:cs="楷体"/>
          <w:sz w:val="21"/>
          <w:szCs w:val="21"/>
        </w:rPr>
        <w:t>（国家发展改革委、人民银行、财 政部、银保监会按职责分工负责，完成时间：持续推进）</w:t>
      </w:r>
    </w:p>
    <w:p>
      <w:pPr>
        <w:keepNext w:val="0"/>
        <w:keepLines w:val="0"/>
        <w:pageBreakBefore w:val="0"/>
        <w:kinsoku/>
        <w:wordWrap/>
        <w:overflowPunct/>
        <w:topLinePunct w:val="0"/>
        <w:autoSpaceDE/>
        <w:autoSpaceDN/>
        <w:bidi w:val="0"/>
        <w:adjustRightInd/>
        <w:snapToGrid/>
        <w:spacing w:line="360" w:lineRule="auto"/>
        <w:ind w:left="0" w:leftChars="0" w:firstLine="367" w:firstLineChars="175"/>
        <w:jc w:val="left"/>
        <w:textAlignment w:val="auto"/>
        <w:rPr>
          <w:rFonts w:hint="eastAsia" w:ascii="楷体" w:hAnsi="楷体" w:eastAsia="楷体" w:cs="楷体"/>
          <w:sz w:val="21"/>
          <w:szCs w:val="21"/>
        </w:rPr>
      </w:pPr>
      <w:r>
        <w:rPr>
          <w:rFonts w:ascii="宋体" w:hAnsi="宋体" w:eastAsia="宋体" w:cs="宋体"/>
          <w:sz w:val="21"/>
          <w:szCs w:val="21"/>
        </w:rPr>
        <w:t xml:space="preserve"> </w:t>
      </w:r>
      <w:r>
        <w:rPr>
          <w:rFonts w:hint="eastAsia" w:ascii="楷体" w:hAnsi="楷体" w:eastAsia="楷体" w:cs="楷体"/>
          <w:sz w:val="21"/>
          <w:szCs w:val="21"/>
        </w:rPr>
        <w:t>（九）大力开展债转优先股试点。</w:t>
      </w:r>
      <w:r>
        <w:rPr>
          <w:rFonts w:ascii="宋体" w:hAnsi="宋体" w:eastAsia="宋体" w:cs="宋体"/>
          <w:sz w:val="21"/>
          <w:szCs w:val="21"/>
        </w:rPr>
        <w:t>鼓励依法合规以优先股方式开展市场化债转股，扩大非上市非公众股份公司债转优先股试点范围。</w:t>
      </w:r>
      <w:r>
        <w:rPr>
          <w:rFonts w:hint="eastAsia" w:ascii="楷体" w:hAnsi="楷体" w:eastAsia="楷体" w:cs="楷体"/>
          <w:sz w:val="21"/>
          <w:szCs w:val="21"/>
        </w:rPr>
        <w:t xml:space="preserve">（国家发展改革委、人民银行、财政部、国务院国资委、银保 监会按职责分工负责，完成时间：持续推进） </w:t>
      </w:r>
    </w:p>
    <w:p>
      <w:pPr>
        <w:keepNext w:val="0"/>
        <w:keepLines w:val="0"/>
        <w:pageBreakBefore w:val="0"/>
        <w:kinsoku/>
        <w:wordWrap/>
        <w:overflowPunct/>
        <w:topLinePunct w:val="0"/>
        <w:autoSpaceDE/>
        <w:autoSpaceDN/>
        <w:bidi w:val="0"/>
        <w:adjustRightInd/>
        <w:snapToGrid/>
        <w:spacing w:line="360" w:lineRule="auto"/>
        <w:ind w:left="0" w:leftChars="0" w:firstLine="367" w:firstLineChars="175"/>
        <w:jc w:val="left"/>
        <w:textAlignment w:val="auto"/>
        <w:rPr>
          <w:rFonts w:hint="eastAsia" w:ascii="楷体" w:hAnsi="楷体" w:eastAsia="楷体" w:cs="楷体"/>
          <w:sz w:val="21"/>
          <w:szCs w:val="21"/>
        </w:rPr>
      </w:pPr>
      <w:r>
        <w:rPr>
          <w:rFonts w:hint="eastAsia" w:ascii="楷体" w:hAnsi="楷体" w:eastAsia="楷体" w:cs="楷体"/>
          <w:sz w:val="21"/>
          <w:szCs w:val="21"/>
        </w:rPr>
        <w:t>（十）进一步提高市场化债转股资产定价市场化水平。</w:t>
      </w:r>
      <w:r>
        <w:rPr>
          <w:rFonts w:ascii="宋体" w:hAnsi="宋体" w:eastAsia="宋体" w:cs="宋体"/>
          <w:sz w:val="21"/>
          <w:szCs w:val="21"/>
        </w:rPr>
        <w:t>对市场化债转股过程中涉及的国有资产定价问题进行深入调研，找准问题，提出解决方案。有效完善国有企业、债转股实施机构等尽职免责办法，解除相关主体后顾之忧。</w:t>
      </w:r>
      <w:r>
        <w:rPr>
          <w:rFonts w:hint="eastAsia" w:ascii="楷体" w:hAnsi="楷体" w:eastAsia="楷体" w:cs="楷体"/>
          <w:sz w:val="21"/>
          <w:szCs w:val="21"/>
        </w:rPr>
        <w:t xml:space="preserve">（国务院国资委、财政部、银保 监会、国家发展改革委、人民银行、审计署按职责分工负责，完成 时间：2019 年 9 月底前）  </w:t>
      </w:r>
    </w:p>
    <w:p>
      <w:pPr>
        <w:keepNext w:val="0"/>
        <w:keepLines w:val="0"/>
        <w:pageBreakBefore w:val="0"/>
        <w:kinsoku/>
        <w:wordWrap/>
        <w:overflowPunct/>
        <w:topLinePunct w:val="0"/>
        <w:autoSpaceDE/>
        <w:autoSpaceDN/>
        <w:bidi w:val="0"/>
        <w:adjustRightInd/>
        <w:snapToGrid/>
        <w:spacing w:line="360" w:lineRule="auto"/>
        <w:ind w:left="0" w:leftChars="0" w:firstLine="367" w:firstLineChars="175"/>
        <w:jc w:val="left"/>
        <w:textAlignment w:val="auto"/>
        <w:rPr>
          <w:rFonts w:hint="eastAsia" w:ascii="楷体" w:hAnsi="楷体" w:eastAsia="楷体" w:cs="楷体"/>
          <w:sz w:val="21"/>
          <w:szCs w:val="21"/>
        </w:rPr>
      </w:pPr>
      <w:r>
        <w:rPr>
          <w:rFonts w:hint="eastAsia" w:ascii="楷体" w:hAnsi="楷体" w:eastAsia="楷体" w:cs="楷体"/>
          <w:sz w:val="21"/>
          <w:szCs w:val="21"/>
        </w:rPr>
        <w:t>（十一）强化公司治理和社会资本权益保护。</w:t>
      </w:r>
      <w:r>
        <w:rPr>
          <w:rFonts w:ascii="宋体" w:hAnsi="宋体" w:eastAsia="宋体" w:cs="宋体"/>
          <w:sz w:val="21"/>
          <w:szCs w:val="21"/>
        </w:rPr>
        <w:t>引导实施机构依 法向转股对象企业派驻董事、监事，实质性参与公司治理，积极推 动企业转型升级；促进市场化债转股与混合所有制改革等有机结合，优化股权结构，推动完善现代企业制度。</w:t>
      </w:r>
      <w:r>
        <w:rPr>
          <w:rFonts w:hint="eastAsia" w:ascii="楷体" w:hAnsi="楷体" w:eastAsia="楷体" w:cs="楷体"/>
          <w:sz w:val="21"/>
          <w:szCs w:val="21"/>
        </w:rPr>
        <w:t xml:space="preserve">（国家发展改革委、 国务院国资委牵头，人民银行、财政部、银保监会、证监会参与按 职责分工负责，完成时间：持续推进） </w:t>
      </w:r>
    </w:p>
    <w:p>
      <w:pPr>
        <w:keepNext w:val="0"/>
        <w:keepLines w:val="0"/>
        <w:pageBreakBefore w:val="0"/>
        <w:kinsoku/>
        <w:wordWrap/>
        <w:overflowPunct/>
        <w:topLinePunct w:val="0"/>
        <w:autoSpaceDE/>
        <w:autoSpaceDN/>
        <w:bidi w:val="0"/>
        <w:adjustRightInd/>
        <w:snapToGrid/>
        <w:spacing w:line="360" w:lineRule="auto"/>
        <w:ind w:left="0" w:leftChars="0" w:firstLine="367" w:firstLineChars="175"/>
        <w:jc w:val="left"/>
        <w:textAlignment w:val="auto"/>
        <w:rPr>
          <w:rFonts w:hint="eastAsia" w:ascii="黑体" w:hAnsi="黑体" w:eastAsia="黑体" w:cs="黑体"/>
          <w:sz w:val="21"/>
          <w:szCs w:val="21"/>
        </w:rPr>
      </w:pPr>
      <w:r>
        <w:rPr>
          <w:rFonts w:hint="eastAsia" w:ascii="黑体" w:hAnsi="黑体" w:eastAsia="黑体" w:cs="黑体"/>
          <w:sz w:val="21"/>
          <w:szCs w:val="21"/>
        </w:rPr>
        <w:t xml:space="preserve">二、综合运用各类降杠杆措施 </w:t>
      </w:r>
    </w:p>
    <w:p>
      <w:pPr>
        <w:keepNext w:val="0"/>
        <w:keepLines w:val="0"/>
        <w:pageBreakBefore w:val="0"/>
        <w:kinsoku/>
        <w:wordWrap/>
        <w:overflowPunct/>
        <w:topLinePunct w:val="0"/>
        <w:autoSpaceDE/>
        <w:autoSpaceDN/>
        <w:bidi w:val="0"/>
        <w:adjustRightInd/>
        <w:snapToGrid/>
        <w:spacing w:line="360" w:lineRule="auto"/>
        <w:ind w:left="0" w:leftChars="0" w:firstLine="367" w:firstLineChars="175"/>
        <w:jc w:val="left"/>
        <w:textAlignment w:val="auto"/>
        <w:rPr>
          <w:rFonts w:hint="eastAsia" w:ascii="楷体" w:hAnsi="楷体" w:eastAsia="楷体" w:cs="楷体"/>
          <w:sz w:val="21"/>
          <w:szCs w:val="21"/>
        </w:rPr>
      </w:pPr>
      <w:r>
        <w:rPr>
          <w:rFonts w:hint="eastAsia" w:ascii="楷体" w:hAnsi="楷体" w:eastAsia="楷体" w:cs="楷体"/>
          <w:sz w:val="21"/>
          <w:szCs w:val="21"/>
        </w:rPr>
        <w:t>（十二）推进企业战略重组与结构调整。</w:t>
      </w:r>
      <w:r>
        <w:rPr>
          <w:rFonts w:ascii="宋体" w:hAnsi="宋体" w:eastAsia="宋体" w:cs="宋体"/>
          <w:sz w:val="21"/>
          <w:szCs w:val="21"/>
        </w:rPr>
        <w:t>鼓励通过兼并重组整 合资源，出清过剩产能，提高产业集中度，减少同质化无序竞争和 资源浪费；鼓励有效整合企业内部优质资源，提升内部资源配置效 率，提高优质业务板块股权融资能力。</w:t>
      </w:r>
      <w:r>
        <w:rPr>
          <w:rFonts w:hint="eastAsia" w:ascii="楷体" w:hAnsi="楷体" w:eastAsia="楷体" w:cs="楷体"/>
          <w:sz w:val="21"/>
          <w:szCs w:val="21"/>
        </w:rPr>
        <w:t xml:space="preserve">（工业和信息化部、国家发 展改革委、国务院国资委、财政部、人民银行、银保监会、证监会 按职责分工负责，完成时间：持续推进） </w:t>
      </w:r>
    </w:p>
    <w:p>
      <w:pPr>
        <w:keepNext w:val="0"/>
        <w:keepLines w:val="0"/>
        <w:pageBreakBefore w:val="0"/>
        <w:kinsoku/>
        <w:wordWrap/>
        <w:overflowPunct/>
        <w:topLinePunct w:val="0"/>
        <w:autoSpaceDE/>
        <w:autoSpaceDN/>
        <w:bidi w:val="0"/>
        <w:adjustRightInd/>
        <w:snapToGrid/>
        <w:spacing w:line="360" w:lineRule="auto"/>
        <w:ind w:left="0" w:leftChars="0" w:firstLine="367" w:firstLineChars="175"/>
        <w:jc w:val="left"/>
        <w:textAlignment w:val="auto"/>
        <w:rPr>
          <w:rFonts w:hint="eastAsia" w:ascii="楷体" w:hAnsi="楷体" w:eastAsia="楷体" w:cs="楷体"/>
          <w:sz w:val="21"/>
          <w:szCs w:val="21"/>
        </w:rPr>
      </w:pPr>
      <w:r>
        <w:rPr>
          <w:rFonts w:hint="eastAsia" w:ascii="楷体" w:hAnsi="楷体" w:eastAsia="楷体" w:cs="楷体"/>
          <w:sz w:val="21"/>
          <w:szCs w:val="21"/>
        </w:rPr>
        <w:t>（十三）加快“僵尸企业”债务处置。</w:t>
      </w:r>
      <w:r>
        <w:rPr>
          <w:rFonts w:ascii="宋体" w:hAnsi="宋体" w:eastAsia="宋体" w:cs="宋体"/>
          <w:sz w:val="21"/>
          <w:szCs w:val="21"/>
        </w:rPr>
        <w:t>对已列入处置名单的“僵 尸企业”，积极推动银企双方按照相关政策加快债务清理和处置； 符合破产等退出条件的，各相关方不得以任何方式阻碍其退出，相 关企业不得通过转移资产等方式恶意逃废债务。切实履行好维稳、 政策协调、职工权益保障等公共服务职能，做好与人民法院破产案 件审理工作的对接，为“僵尸企业”债务处置创造良好环境。</w:t>
      </w:r>
      <w:r>
        <w:rPr>
          <w:rFonts w:hint="eastAsia" w:ascii="楷体" w:hAnsi="楷体" w:eastAsia="楷体" w:cs="楷体"/>
          <w:sz w:val="21"/>
          <w:szCs w:val="21"/>
        </w:rPr>
        <w:t>（各地区负责，完成时间：持续推进）</w:t>
      </w:r>
    </w:p>
    <w:p>
      <w:pPr>
        <w:keepNext w:val="0"/>
        <w:keepLines w:val="0"/>
        <w:pageBreakBefore w:val="0"/>
        <w:kinsoku/>
        <w:wordWrap/>
        <w:overflowPunct/>
        <w:topLinePunct w:val="0"/>
        <w:autoSpaceDE/>
        <w:autoSpaceDN/>
        <w:bidi w:val="0"/>
        <w:adjustRightInd/>
        <w:snapToGrid/>
        <w:spacing w:line="360" w:lineRule="auto"/>
        <w:ind w:left="0" w:leftChars="0" w:firstLine="367" w:firstLineChars="175"/>
        <w:jc w:val="left"/>
        <w:textAlignment w:val="auto"/>
        <w:rPr>
          <w:rFonts w:hint="eastAsia" w:ascii="楷体" w:hAnsi="楷体" w:eastAsia="楷体" w:cs="楷体"/>
          <w:sz w:val="21"/>
          <w:szCs w:val="21"/>
        </w:rPr>
      </w:pPr>
      <w:r>
        <w:rPr>
          <w:rFonts w:ascii="宋体" w:hAnsi="宋体" w:eastAsia="宋体" w:cs="宋体"/>
          <w:sz w:val="21"/>
          <w:szCs w:val="21"/>
        </w:rPr>
        <w:t xml:space="preserve"> </w:t>
      </w:r>
      <w:r>
        <w:rPr>
          <w:rFonts w:hint="eastAsia" w:ascii="楷体" w:hAnsi="楷体" w:eastAsia="楷体" w:cs="楷体"/>
          <w:sz w:val="21"/>
          <w:szCs w:val="21"/>
        </w:rPr>
        <w:t>（十四）完善破产退出相关保障机制。</w:t>
      </w:r>
      <w:r>
        <w:rPr>
          <w:rFonts w:ascii="宋体" w:hAnsi="宋体" w:eastAsia="宋体" w:cs="宋体"/>
          <w:sz w:val="21"/>
          <w:szCs w:val="21"/>
        </w:rPr>
        <w:t xml:space="preserve">依法解决企业拖欠职工 5 薪金社保费以及欠税、破产案件受理后相关部门保全措施解除等重 点难点问题，鼓励有条件的地方政府支持人民法院破产审判队伍专 业化、职业化建设，探索建立破产经费筹措机制，优化破产管理人 选任机制和名册、报酬制度，推动成立全国破产管理人行业协会。 </w:t>
      </w:r>
      <w:r>
        <w:rPr>
          <w:rFonts w:hint="eastAsia" w:ascii="楷体" w:hAnsi="楷体" w:eastAsia="楷体" w:cs="楷体"/>
          <w:sz w:val="21"/>
          <w:szCs w:val="21"/>
        </w:rPr>
        <w:t>（国家发展改革委、财政部、人力资源社会保障部、最高人民法院、 税务总局按职责分工负责，完成时间：持续推进）</w:t>
      </w:r>
    </w:p>
    <w:p>
      <w:pPr>
        <w:keepNext w:val="0"/>
        <w:keepLines w:val="0"/>
        <w:pageBreakBefore w:val="0"/>
        <w:kinsoku/>
        <w:wordWrap/>
        <w:overflowPunct/>
        <w:topLinePunct w:val="0"/>
        <w:autoSpaceDE/>
        <w:autoSpaceDN/>
        <w:bidi w:val="0"/>
        <w:adjustRightInd/>
        <w:snapToGrid/>
        <w:spacing w:line="360" w:lineRule="auto"/>
        <w:ind w:left="0" w:leftChars="0" w:firstLine="367" w:firstLineChars="175"/>
        <w:jc w:val="left"/>
        <w:textAlignment w:val="auto"/>
        <w:rPr>
          <w:rFonts w:hint="eastAsia" w:ascii="楷体" w:hAnsi="楷体" w:eastAsia="楷体" w:cs="楷体"/>
          <w:sz w:val="21"/>
          <w:szCs w:val="21"/>
        </w:rPr>
      </w:pPr>
      <w:r>
        <w:rPr>
          <w:rFonts w:ascii="宋体" w:hAnsi="宋体" w:eastAsia="宋体" w:cs="宋体"/>
          <w:sz w:val="21"/>
          <w:szCs w:val="21"/>
        </w:rPr>
        <w:t xml:space="preserve"> </w:t>
      </w:r>
      <w:r>
        <w:rPr>
          <w:rFonts w:hint="eastAsia" w:ascii="楷体" w:hAnsi="楷体" w:eastAsia="楷体" w:cs="楷体"/>
          <w:sz w:val="21"/>
          <w:szCs w:val="21"/>
        </w:rPr>
        <w:t>（十五）大力发展股权融资。</w:t>
      </w:r>
      <w:r>
        <w:rPr>
          <w:rFonts w:ascii="宋体" w:hAnsi="宋体" w:eastAsia="宋体" w:cs="宋体"/>
          <w:sz w:val="21"/>
          <w:szCs w:val="21"/>
        </w:rPr>
        <w:t>完善交易所市场股权融资功能， 改革股票发行制度，提升上市公司质量；加强对中小投资者权益的 保护，增强投资者信心；按照投资者适当性原则，有序促进社会储 蓄转化为股权投资，拓宽企业资本补充渠道；鼓励私募股权投资基 金等多元化投资主体发展，丰富股权融资市场投资者群体。</w:t>
      </w:r>
      <w:r>
        <w:rPr>
          <w:rFonts w:hint="eastAsia" w:ascii="楷体" w:hAnsi="楷体" w:eastAsia="楷体" w:cs="楷体"/>
          <w:sz w:val="21"/>
          <w:szCs w:val="21"/>
        </w:rPr>
        <w:t xml:space="preserve">（证监会、人民银行、银保监会按职责分工负责，完成时间：持续推进） </w:t>
      </w:r>
    </w:p>
    <w:p>
      <w:pPr>
        <w:keepNext w:val="0"/>
        <w:keepLines w:val="0"/>
        <w:pageBreakBefore w:val="0"/>
        <w:kinsoku/>
        <w:wordWrap/>
        <w:overflowPunct/>
        <w:topLinePunct w:val="0"/>
        <w:autoSpaceDE/>
        <w:autoSpaceDN/>
        <w:bidi w:val="0"/>
        <w:adjustRightInd/>
        <w:snapToGrid/>
        <w:spacing w:line="360" w:lineRule="auto"/>
        <w:ind w:left="0" w:leftChars="0" w:firstLine="367" w:firstLineChars="175"/>
        <w:jc w:val="left"/>
        <w:textAlignment w:val="auto"/>
        <w:rPr>
          <w:rFonts w:hint="eastAsia" w:ascii="黑体" w:hAnsi="黑体" w:eastAsia="黑体" w:cs="黑体"/>
          <w:sz w:val="21"/>
          <w:szCs w:val="21"/>
        </w:rPr>
      </w:pPr>
      <w:r>
        <w:rPr>
          <w:rFonts w:hint="eastAsia" w:ascii="黑体" w:hAnsi="黑体" w:eastAsia="黑体" w:cs="黑体"/>
          <w:sz w:val="21"/>
          <w:szCs w:val="21"/>
        </w:rPr>
        <w:t xml:space="preserve">三、进一步完善企业债务风险防控机制 </w:t>
      </w:r>
    </w:p>
    <w:p>
      <w:pPr>
        <w:keepNext w:val="0"/>
        <w:keepLines w:val="0"/>
        <w:pageBreakBefore w:val="0"/>
        <w:kinsoku/>
        <w:wordWrap/>
        <w:overflowPunct/>
        <w:topLinePunct w:val="0"/>
        <w:autoSpaceDE/>
        <w:autoSpaceDN/>
        <w:bidi w:val="0"/>
        <w:adjustRightInd/>
        <w:snapToGrid/>
        <w:spacing w:line="360" w:lineRule="auto"/>
        <w:ind w:left="0" w:leftChars="0" w:firstLine="367" w:firstLineChars="175"/>
        <w:jc w:val="left"/>
        <w:textAlignment w:val="auto"/>
        <w:rPr>
          <w:rFonts w:hint="eastAsia" w:ascii="楷体" w:hAnsi="楷体" w:eastAsia="楷体" w:cs="楷体"/>
          <w:sz w:val="21"/>
          <w:szCs w:val="21"/>
        </w:rPr>
      </w:pPr>
      <w:r>
        <w:rPr>
          <w:rFonts w:hint="eastAsia" w:ascii="楷体" w:hAnsi="楷体" w:eastAsia="楷体" w:cs="楷体"/>
          <w:sz w:val="21"/>
          <w:szCs w:val="21"/>
        </w:rPr>
        <w:t>（十六）完善企业债务风险监测预警机制。</w:t>
      </w:r>
      <w:r>
        <w:rPr>
          <w:rFonts w:ascii="宋体" w:hAnsi="宋体" w:eastAsia="宋体" w:cs="宋体"/>
          <w:sz w:val="21"/>
          <w:szCs w:val="21"/>
        </w:rPr>
        <w:t>建立覆盖全部国有 企业法人单位的债务风险监测系统，分行业、分地区定期对企业杠 杆率和债务风险进行动态监测。重点做好大型企业债务风险监测， 加强涉企信息整合和共享。（</w:t>
      </w:r>
      <w:r>
        <w:rPr>
          <w:rFonts w:hint="eastAsia" w:ascii="楷体" w:hAnsi="楷体" w:eastAsia="楷体" w:cs="楷体"/>
          <w:sz w:val="21"/>
          <w:szCs w:val="21"/>
        </w:rPr>
        <w:t xml:space="preserve">国家发展改革委、国务院国资委、财政部、人民银行、银保监会及各地区按职责分工负责，完成时间： 持续推进） </w:t>
      </w:r>
    </w:p>
    <w:p>
      <w:pPr>
        <w:keepNext w:val="0"/>
        <w:keepLines w:val="0"/>
        <w:pageBreakBefore w:val="0"/>
        <w:kinsoku/>
        <w:wordWrap/>
        <w:overflowPunct/>
        <w:topLinePunct w:val="0"/>
        <w:autoSpaceDE/>
        <w:autoSpaceDN/>
        <w:bidi w:val="0"/>
        <w:adjustRightInd/>
        <w:snapToGrid/>
        <w:spacing w:line="360" w:lineRule="auto"/>
        <w:ind w:left="0" w:leftChars="0" w:firstLine="367" w:firstLineChars="175"/>
        <w:jc w:val="left"/>
        <w:textAlignment w:val="auto"/>
        <w:rPr>
          <w:rFonts w:hint="eastAsia" w:ascii="楷体" w:hAnsi="楷体" w:eastAsia="楷体" w:cs="楷体"/>
          <w:sz w:val="21"/>
          <w:szCs w:val="21"/>
        </w:rPr>
      </w:pPr>
      <w:r>
        <w:rPr>
          <w:rFonts w:hint="eastAsia" w:ascii="楷体" w:hAnsi="楷体" w:eastAsia="楷体" w:cs="楷体"/>
          <w:sz w:val="21"/>
          <w:szCs w:val="21"/>
        </w:rPr>
        <w:t>（十七）加强金融机构对企业的负债融资约束。</w:t>
      </w:r>
      <w:r>
        <w:rPr>
          <w:rFonts w:ascii="宋体" w:hAnsi="宋体" w:eastAsia="宋体" w:cs="宋体"/>
          <w:sz w:val="21"/>
          <w:szCs w:val="21"/>
        </w:rPr>
        <w:t>通过债权人委 员会、联合授信等机制以及银行对企业客户开展债务风险评估等方 6 式，加强授信管理，限制高负债企业过度债务融资。</w:t>
      </w:r>
      <w:r>
        <w:rPr>
          <w:rFonts w:hint="eastAsia" w:ascii="楷体" w:hAnsi="楷体" w:eastAsia="楷体" w:cs="楷体"/>
          <w:sz w:val="21"/>
          <w:szCs w:val="21"/>
        </w:rPr>
        <w:t>（银保监会、 人民银行牵头，国家发展改革委、国务院国资委、财政部、证监会 按职责分工负责，完成时间：持续推进）</w:t>
      </w:r>
    </w:p>
    <w:p>
      <w:pPr>
        <w:keepNext w:val="0"/>
        <w:keepLines w:val="0"/>
        <w:pageBreakBefore w:val="0"/>
        <w:kinsoku/>
        <w:wordWrap/>
        <w:overflowPunct/>
        <w:topLinePunct w:val="0"/>
        <w:autoSpaceDE/>
        <w:autoSpaceDN/>
        <w:bidi w:val="0"/>
        <w:adjustRightInd/>
        <w:snapToGrid/>
        <w:spacing w:line="360" w:lineRule="auto"/>
        <w:ind w:left="0" w:leftChars="0" w:firstLine="367" w:firstLineChars="175"/>
        <w:jc w:val="left"/>
        <w:textAlignment w:val="auto"/>
        <w:rPr>
          <w:rFonts w:hint="eastAsia" w:ascii="楷体" w:hAnsi="楷体" w:eastAsia="楷体" w:cs="楷体"/>
          <w:sz w:val="21"/>
          <w:szCs w:val="21"/>
        </w:rPr>
      </w:pPr>
      <w:r>
        <w:rPr>
          <w:rFonts w:ascii="宋体" w:hAnsi="宋体" w:eastAsia="宋体" w:cs="宋体"/>
          <w:sz w:val="21"/>
          <w:szCs w:val="21"/>
        </w:rPr>
        <w:t xml:space="preserve"> </w:t>
      </w:r>
      <w:r>
        <w:rPr>
          <w:rFonts w:hint="eastAsia" w:ascii="楷体" w:hAnsi="楷体" w:eastAsia="楷体" w:cs="楷体"/>
          <w:sz w:val="21"/>
          <w:szCs w:val="21"/>
        </w:rPr>
        <w:t>（十八）充实国有企业资本。</w:t>
      </w:r>
      <w:r>
        <w:rPr>
          <w:rFonts w:ascii="宋体" w:hAnsi="宋体" w:eastAsia="宋体" w:cs="宋体"/>
          <w:sz w:val="21"/>
          <w:szCs w:val="21"/>
        </w:rPr>
        <w:t>拓宽国有企业资本补充渠道，鼓励国有企业通过发行普通股和优先股充实资本金，进一步规范国有企业资本管理，防止虚假降杠杆。</w:t>
      </w:r>
      <w:r>
        <w:rPr>
          <w:rFonts w:hint="eastAsia" w:ascii="楷体" w:hAnsi="楷体" w:eastAsia="楷体" w:cs="楷体"/>
          <w:sz w:val="21"/>
          <w:szCs w:val="21"/>
        </w:rPr>
        <w:t xml:space="preserve">（国务院国资委、国家发展改革 委牵头，人民银行、财政部、银保监会按职责分工负责，完成时间： 持续推进） </w:t>
      </w:r>
    </w:p>
    <w:p>
      <w:pPr>
        <w:keepNext w:val="0"/>
        <w:keepLines w:val="0"/>
        <w:pageBreakBefore w:val="0"/>
        <w:kinsoku/>
        <w:wordWrap/>
        <w:overflowPunct/>
        <w:topLinePunct w:val="0"/>
        <w:autoSpaceDE/>
        <w:autoSpaceDN/>
        <w:bidi w:val="0"/>
        <w:adjustRightInd/>
        <w:snapToGrid/>
        <w:spacing w:line="360" w:lineRule="auto"/>
        <w:ind w:left="0" w:leftChars="0" w:firstLine="367" w:firstLineChars="175"/>
        <w:jc w:val="left"/>
        <w:textAlignment w:val="auto"/>
        <w:rPr>
          <w:rFonts w:ascii="宋体" w:hAnsi="宋体" w:eastAsia="宋体" w:cs="宋体"/>
          <w:sz w:val="21"/>
          <w:szCs w:val="21"/>
        </w:rPr>
      </w:pPr>
      <w:r>
        <w:rPr>
          <w:rFonts w:hint="eastAsia" w:ascii="楷体" w:hAnsi="楷体" w:eastAsia="楷体" w:cs="楷体"/>
          <w:sz w:val="21"/>
          <w:szCs w:val="21"/>
        </w:rPr>
        <w:t>（十九）及时处置企业债务风险。</w:t>
      </w:r>
      <w:r>
        <w:rPr>
          <w:rFonts w:ascii="宋体" w:hAnsi="宋体" w:eastAsia="宋体" w:cs="宋体"/>
          <w:sz w:val="21"/>
          <w:szCs w:val="21"/>
        </w:rPr>
        <w:t>在企业债务风险暴露初期及 时介入，积极引导各市场主体按照市场化法治化原则协商处置，对 扭亏无望的企业慎用减息停息、借新还旧等金融手段，避免债务风 险越拖越大。对潜在影响较大的债务风险事件，相关部门联合开展 协调，提高处置效率并确保依法合规，防止风险蔓延。</w:t>
      </w:r>
      <w:r>
        <w:rPr>
          <w:rFonts w:hint="eastAsia" w:ascii="楷体" w:hAnsi="楷体" w:eastAsia="楷体" w:cs="楷体"/>
          <w:sz w:val="21"/>
          <w:szCs w:val="21"/>
        </w:rPr>
        <w:t>（国家发展 改革委、银保监会、人民银行、财政部、国务院国资委及各地区按 职责分工负责，完成时间：持续推进）</w:t>
      </w:r>
    </w:p>
    <w:p>
      <w:pPr>
        <w:keepNext w:val="0"/>
        <w:keepLines w:val="0"/>
        <w:pageBreakBefore w:val="0"/>
        <w:kinsoku/>
        <w:wordWrap/>
        <w:overflowPunct/>
        <w:topLinePunct w:val="0"/>
        <w:autoSpaceDE/>
        <w:autoSpaceDN/>
        <w:bidi w:val="0"/>
        <w:adjustRightInd/>
        <w:snapToGrid/>
        <w:spacing w:line="360" w:lineRule="auto"/>
        <w:ind w:left="0" w:leftChars="0" w:firstLine="367" w:firstLineChars="175"/>
        <w:jc w:val="left"/>
        <w:textAlignment w:val="auto"/>
        <w:rPr>
          <w:rFonts w:hint="eastAsia" w:ascii="黑体" w:hAnsi="黑体" w:eastAsia="黑体" w:cs="黑体"/>
          <w:sz w:val="21"/>
          <w:szCs w:val="21"/>
        </w:rPr>
      </w:pPr>
      <w:r>
        <w:rPr>
          <w:rFonts w:hint="eastAsia" w:ascii="黑体" w:hAnsi="黑体" w:eastAsia="黑体" w:cs="黑体"/>
          <w:sz w:val="21"/>
          <w:szCs w:val="21"/>
        </w:rPr>
        <w:t xml:space="preserve"> 四、做好组织协调和服务监督 </w:t>
      </w:r>
    </w:p>
    <w:p>
      <w:pPr>
        <w:keepNext w:val="0"/>
        <w:keepLines w:val="0"/>
        <w:pageBreakBefore w:val="0"/>
        <w:kinsoku/>
        <w:wordWrap/>
        <w:overflowPunct/>
        <w:topLinePunct w:val="0"/>
        <w:autoSpaceDE/>
        <w:autoSpaceDN/>
        <w:bidi w:val="0"/>
        <w:adjustRightInd/>
        <w:snapToGrid/>
        <w:spacing w:line="360" w:lineRule="auto"/>
        <w:ind w:left="0" w:leftChars="0" w:firstLine="367" w:firstLineChars="175"/>
        <w:jc w:val="left"/>
        <w:textAlignment w:val="auto"/>
        <w:rPr>
          <w:rFonts w:hint="eastAsia" w:ascii="楷体" w:hAnsi="楷体" w:eastAsia="楷体" w:cs="楷体"/>
          <w:sz w:val="21"/>
          <w:szCs w:val="21"/>
        </w:rPr>
      </w:pPr>
      <w:r>
        <w:rPr>
          <w:rFonts w:hint="eastAsia" w:ascii="楷体" w:hAnsi="楷体" w:eastAsia="楷体" w:cs="楷体"/>
          <w:sz w:val="21"/>
          <w:szCs w:val="21"/>
        </w:rPr>
        <w:t>（二十）持续深入开展政策解读。</w:t>
      </w:r>
      <w:r>
        <w:rPr>
          <w:rFonts w:ascii="宋体" w:hAnsi="宋体" w:eastAsia="宋体" w:cs="宋体"/>
          <w:sz w:val="21"/>
          <w:szCs w:val="21"/>
        </w:rPr>
        <w:t>在全国范围组织降低企业杠杆率、市场化债转股政策宣讲与项目对接会，推动地方政府、市场 化债转股实施机构、企业等相关主体，通过法律法规和政策方针解 读、具体案例剖析、潜在项目推介等形式，面对面解决疑难问题， 提高各相关主体对降低企业杠杆率、市场化债转股工作的认识水平 7 和工作能力。</w:t>
      </w:r>
      <w:r>
        <w:rPr>
          <w:rFonts w:hint="eastAsia" w:ascii="楷体" w:hAnsi="楷体" w:eastAsia="楷体" w:cs="楷体"/>
          <w:sz w:val="21"/>
          <w:szCs w:val="21"/>
        </w:rPr>
        <w:t>（国家发展改革委、人民银行、财政部、银保监会等 积极稳妥降低企业杠杆率工作部际联席会议成员单位及各地区按 职责分工负责，完成时间：2019 年底前）</w:t>
      </w:r>
    </w:p>
    <w:p>
      <w:pPr>
        <w:keepNext w:val="0"/>
        <w:keepLines w:val="0"/>
        <w:pageBreakBefore w:val="0"/>
        <w:kinsoku/>
        <w:wordWrap/>
        <w:overflowPunct/>
        <w:topLinePunct w:val="0"/>
        <w:autoSpaceDE/>
        <w:autoSpaceDN/>
        <w:bidi w:val="0"/>
        <w:adjustRightInd/>
        <w:snapToGrid/>
        <w:spacing w:line="360" w:lineRule="auto"/>
        <w:ind w:left="0" w:leftChars="0" w:firstLine="367" w:firstLineChars="175"/>
        <w:jc w:val="left"/>
        <w:textAlignment w:val="auto"/>
        <w:rPr>
          <w:rFonts w:hint="eastAsia" w:ascii="楷体" w:hAnsi="楷体" w:eastAsia="楷体" w:cs="楷体"/>
          <w:sz w:val="21"/>
          <w:szCs w:val="21"/>
        </w:rPr>
      </w:pPr>
      <w:r>
        <w:rPr>
          <w:rFonts w:ascii="宋体" w:hAnsi="宋体" w:eastAsia="宋体" w:cs="宋体"/>
          <w:sz w:val="21"/>
          <w:szCs w:val="21"/>
        </w:rPr>
        <w:t xml:space="preserve"> </w:t>
      </w:r>
      <w:r>
        <w:rPr>
          <w:rFonts w:hint="eastAsia" w:ascii="楷体" w:hAnsi="楷体" w:eastAsia="楷体" w:cs="楷体"/>
          <w:sz w:val="21"/>
          <w:szCs w:val="21"/>
        </w:rPr>
        <w:t>（二十一）建立市场化债转股项目评估检查机制。</w:t>
      </w:r>
      <w:r>
        <w:rPr>
          <w:rFonts w:ascii="宋体" w:hAnsi="宋体" w:eastAsia="宋体" w:cs="宋体"/>
          <w:sz w:val="21"/>
          <w:szCs w:val="21"/>
        </w:rPr>
        <w:t>加强市场化 债转股全过程监管。定期就市场化债转股项目在降低企业资产负债 率、改善公司治理、完善现代企业制度等方面落实情况进行现场调 研、评估和监督检查，防止借债转股名义掩盖不良债权，粉饰资产 负债表，确保业务流程合法合规。</w:t>
      </w:r>
      <w:r>
        <w:rPr>
          <w:rFonts w:hint="eastAsia" w:ascii="楷体" w:hAnsi="楷体" w:eastAsia="楷体" w:cs="楷体"/>
          <w:sz w:val="21"/>
          <w:szCs w:val="21"/>
        </w:rPr>
        <w:t>（国家发展改革委、人民银行、 财政部、银保监会等部际联席会议成员单位及各地区按职责分工负 责，完成时间：持续推进）</w:t>
      </w:r>
    </w:p>
    <w:p>
      <w:pPr>
        <w:keepNext w:val="0"/>
        <w:keepLines w:val="0"/>
        <w:pageBreakBefore w:val="0"/>
        <w:kinsoku/>
        <w:wordWrap/>
        <w:overflowPunct/>
        <w:topLinePunct w:val="0"/>
        <w:autoSpaceDE/>
        <w:autoSpaceDN/>
        <w:bidi w:val="0"/>
        <w:adjustRightInd/>
        <w:snapToGrid/>
        <w:spacing w:line="360" w:lineRule="auto"/>
        <w:ind w:left="0" w:leftChars="0" w:firstLine="367" w:firstLineChars="175"/>
        <w:jc w:val="left"/>
        <w:textAlignment w:val="auto"/>
        <w:rPr>
          <w:rFonts w:hint="eastAsia" w:ascii="楷体" w:hAnsi="楷体" w:eastAsia="楷体" w:cs="楷体"/>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0"/>
        <w:jc w:val="center"/>
        <w:outlineLvl w:val="1"/>
        <w:rPr>
          <w:rFonts w:hint="eastAsia" w:ascii="楷体" w:hAnsi="楷体" w:eastAsia="楷体" w:cs="楷体"/>
          <w:b w:val="0"/>
          <w:bCs w:val="0"/>
          <w:i w:val="0"/>
          <w:sz w:val="24"/>
          <w:szCs w:val="24"/>
        </w:rPr>
      </w:pPr>
      <w:bookmarkStart w:id="180" w:name="_Toc15600"/>
      <w:r>
        <w:rPr>
          <w:rFonts w:hint="eastAsia" w:ascii="Cambria" w:hAnsi="Cambria" w:eastAsia="宋体" w:cs="Times New Roman"/>
          <w:b/>
          <w:bCs/>
          <w:i w:val="0"/>
          <w:caps w:val="0"/>
          <w:color w:val="000000"/>
          <w:spacing w:val="0"/>
          <w:kern w:val="2"/>
          <w:sz w:val="30"/>
          <w:szCs w:val="30"/>
          <w:lang w:val="en-US" w:eastAsia="zh-CN" w:bidi="ar-SA"/>
        </w:rPr>
        <w:t>工业和信息化部 教育部 人力资源和社会保障部 生态环境部 国家卫生健康委员会 应急管理部 国务院国有资产监督管理委员会 国家市场监督管理总局 国家能源局 国家国防科技工业局</w:t>
      </w:r>
      <w:r>
        <w:rPr>
          <w:rFonts w:hint="eastAsia" w:ascii="Cambria" w:hAnsi="Cambria" w:eastAsia="宋体" w:cs="Times New Roman"/>
          <w:b/>
          <w:bCs/>
          <w:i w:val="0"/>
          <w:caps w:val="0"/>
          <w:color w:val="000000"/>
          <w:spacing w:val="0"/>
          <w:kern w:val="2"/>
          <w:sz w:val="30"/>
          <w:szCs w:val="30"/>
          <w:lang w:val="en-US" w:eastAsia="zh-CN" w:bidi="ar-SA"/>
        </w:rPr>
        <w:br w:type="textWrapping"/>
      </w:r>
      <w:r>
        <w:rPr>
          <w:rFonts w:hint="eastAsia" w:ascii="Cambria" w:hAnsi="Cambria" w:eastAsia="宋体" w:cs="Times New Roman"/>
          <w:b/>
          <w:bCs/>
          <w:i w:val="0"/>
          <w:caps w:val="0"/>
          <w:color w:val="000000"/>
          <w:spacing w:val="0"/>
          <w:kern w:val="2"/>
          <w:sz w:val="30"/>
          <w:szCs w:val="30"/>
          <w:lang w:val="en-US" w:eastAsia="zh-CN" w:bidi="ar-SA"/>
        </w:rPr>
        <w:t>关于印发加强工业互联网安全工作的指导意见的通知</w:t>
      </w:r>
      <w:r>
        <w:rPr>
          <w:rFonts w:hint="eastAsia" w:ascii="Cambria" w:hAnsi="Cambria" w:eastAsia="宋体" w:cs="Times New Roman"/>
          <w:b/>
          <w:bCs/>
          <w:i w:val="0"/>
          <w:caps w:val="0"/>
          <w:color w:val="000000"/>
          <w:spacing w:val="0"/>
          <w:kern w:val="2"/>
          <w:sz w:val="30"/>
          <w:szCs w:val="30"/>
          <w:lang w:val="en-US" w:eastAsia="zh-CN" w:bidi="ar-SA"/>
        </w:rPr>
        <w:br w:type="textWrapping"/>
      </w:r>
      <w:r>
        <w:rPr>
          <w:rStyle w:val="24"/>
          <w:rFonts w:hint="eastAsia" w:ascii="楷体" w:hAnsi="楷体" w:eastAsia="楷体" w:cs="楷体"/>
          <w:b w:val="0"/>
          <w:bCs w:val="0"/>
          <w:i w:val="0"/>
          <w:caps w:val="0"/>
          <w:color w:val="070707"/>
          <w:spacing w:val="0"/>
          <w:kern w:val="0"/>
          <w:sz w:val="24"/>
          <w:szCs w:val="24"/>
          <w:lang w:val="en-US" w:eastAsia="zh-CN" w:bidi="ar"/>
        </w:rPr>
        <w:t>工信部联网安〔2019〕168号</w:t>
      </w:r>
      <w:bookmarkEnd w:id="18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070707"/>
          <w:spacing w:val="0"/>
          <w:kern w:val="0"/>
          <w:sz w:val="21"/>
          <w:szCs w:val="21"/>
          <w:lang w:val="en-US" w:eastAsia="zh-CN" w:bidi="ar"/>
        </w:rPr>
      </w:pPr>
      <w:r>
        <w:rPr>
          <w:rFonts w:hint="eastAsia" w:ascii="宋体" w:hAnsi="宋体" w:eastAsia="宋体" w:cs="宋体"/>
          <w:i w:val="0"/>
          <w:caps w:val="0"/>
          <w:color w:val="070707"/>
          <w:spacing w:val="0"/>
          <w:kern w:val="0"/>
          <w:sz w:val="16"/>
          <w:szCs w:val="16"/>
          <w:lang w:val="en-US" w:eastAsia="zh-CN" w:bidi="ar"/>
        </w:rPr>
        <w:t>  </w:t>
      </w:r>
      <w:r>
        <w:rPr>
          <w:rFonts w:hint="eastAsia" w:ascii="宋体" w:hAnsi="宋体" w:eastAsia="宋体" w:cs="宋体"/>
          <w:i w:val="0"/>
          <w:caps w:val="0"/>
          <w:color w:val="070707"/>
          <w:spacing w:val="0"/>
          <w:kern w:val="0"/>
          <w:sz w:val="16"/>
          <w:szCs w:val="16"/>
          <w:lang w:val="en-US" w:eastAsia="zh-CN" w:bidi="ar"/>
        </w:rPr>
        <w:br w:type="textWrapping"/>
      </w:r>
      <w:r>
        <w:rPr>
          <w:rFonts w:hint="eastAsia" w:ascii="宋体" w:hAnsi="宋体" w:eastAsia="宋体" w:cs="宋体"/>
          <w:i w:val="0"/>
          <w:caps w:val="0"/>
          <w:color w:val="070707"/>
          <w:spacing w:val="0"/>
          <w:kern w:val="0"/>
          <w:sz w:val="21"/>
          <w:szCs w:val="21"/>
          <w:lang w:val="en-US" w:eastAsia="zh-CN" w:bidi="ar"/>
        </w:rPr>
        <w:t>各省、自治区、直辖市及计划单列市、新疆生产建设兵团工业和信息化、教育、人力资源社会保障、生态环境、卫生健康、应急管理、国有资产监管、市场监管、能源、国防科技工业主管部门，各省、自治区、直辖市通信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sz w:val="21"/>
          <w:szCs w:val="21"/>
        </w:rPr>
      </w:pPr>
      <w:r>
        <w:rPr>
          <w:rFonts w:hint="eastAsia" w:ascii="宋体" w:hAnsi="宋体" w:eastAsia="宋体" w:cs="宋体"/>
          <w:i w:val="0"/>
          <w:caps w:val="0"/>
          <w:color w:val="070707"/>
          <w:spacing w:val="0"/>
          <w:sz w:val="21"/>
          <w:szCs w:val="21"/>
        </w:rPr>
        <w:t>现将《加强工业互联网安全工作的指导意见》印发给你们，请结合工作实际，抓好贯彻落实。</w:t>
      </w:r>
      <w:r>
        <w:rPr>
          <w:rFonts w:hint="eastAsia" w:ascii="宋体" w:hAnsi="宋体" w:eastAsia="宋体" w:cs="宋体"/>
          <w:i w:val="0"/>
          <w:caps w:val="0"/>
          <w:color w:val="070707"/>
          <w:spacing w:val="0"/>
          <w:sz w:val="21"/>
          <w:szCs w:val="21"/>
        </w:rPr>
        <w:br w:type="textWrapping"/>
      </w:r>
      <w:r>
        <w:rPr>
          <w:rFonts w:hint="eastAsia" w:ascii="宋体" w:hAnsi="宋体" w:eastAsia="宋体" w:cs="宋体"/>
          <w:i w:val="0"/>
          <w:caps w:val="0"/>
          <w:color w:val="070707"/>
          <w:spacing w:val="0"/>
          <w:sz w:val="21"/>
          <w:szCs w:val="21"/>
        </w:rPr>
        <w:t>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hint="eastAsia" w:ascii="宋体" w:hAnsi="宋体" w:eastAsia="宋体" w:cs="宋体"/>
          <w:i w:val="0"/>
          <w:sz w:val="21"/>
          <w:szCs w:val="21"/>
        </w:rPr>
      </w:pPr>
      <w:r>
        <w:rPr>
          <w:rFonts w:hint="eastAsia" w:ascii="宋体" w:hAnsi="宋体" w:eastAsia="宋体" w:cs="宋体"/>
          <w:i w:val="0"/>
          <w:caps w:val="0"/>
          <w:color w:val="070707"/>
          <w:spacing w:val="0"/>
          <w:sz w:val="21"/>
          <w:szCs w:val="21"/>
        </w:rPr>
        <w:t>工业和信息化部</w:t>
      </w:r>
      <w:r>
        <w:rPr>
          <w:rFonts w:hint="default" w:ascii="Times New Roman" w:hAnsi="Times New Roman" w:eastAsia="宋体" w:cs="Times New Roman"/>
          <w:i w:val="0"/>
          <w:caps w:val="0"/>
          <w:color w:val="070707"/>
          <w:spacing w:val="0"/>
          <w:sz w:val="21"/>
          <w:szCs w:val="21"/>
        </w:rPr>
        <w:t> </w:t>
      </w:r>
      <w:r>
        <w:rPr>
          <w:rFonts w:hint="eastAsia" w:ascii="宋体" w:hAnsi="宋体" w:eastAsia="宋体" w:cs="宋体"/>
          <w:i w:val="0"/>
          <w:caps w:val="0"/>
          <w:color w:val="070707"/>
          <w:spacing w:val="0"/>
          <w:sz w:val="21"/>
          <w:szCs w:val="21"/>
        </w:rPr>
        <w:t>教育部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hint="eastAsia" w:ascii="宋体" w:hAnsi="宋体" w:eastAsia="宋体" w:cs="宋体"/>
          <w:i w:val="0"/>
          <w:sz w:val="21"/>
          <w:szCs w:val="21"/>
        </w:rPr>
      </w:pPr>
      <w:r>
        <w:rPr>
          <w:rFonts w:hint="eastAsia" w:ascii="宋体" w:hAnsi="宋体" w:eastAsia="宋体" w:cs="宋体"/>
          <w:i w:val="0"/>
          <w:caps w:val="0"/>
          <w:color w:val="070707"/>
          <w:spacing w:val="0"/>
          <w:sz w:val="21"/>
          <w:szCs w:val="21"/>
        </w:rPr>
        <w:t>人力资源和社会保障部</w:t>
      </w:r>
      <w:r>
        <w:rPr>
          <w:rFonts w:hint="default" w:ascii="Times New Roman" w:hAnsi="Times New Roman" w:eastAsia="宋体" w:cs="Times New Roman"/>
          <w:i w:val="0"/>
          <w:caps w:val="0"/>
          <w:color w:val="070707"/>
          <w:spacing w:val="0"/>
          <w:sz w:val="21"/>
          <w:szCs w:val="21"/>
        </w:rPr>
        <w:t> </w:t>
      </w:r>
      <w:r>
        <w:rPr>
          <w:rFonts w:hint="eastAsia" w:ascii="宋体" w:hAnsi="宋体" w:eastAsia="宋体" w:cs="宋体"/>
          <w:i w:val="0"/>
          <w:caps w:val="0"/>
          <w:color w:val="070707"/>
          <w:spacing w:val="0"/>
          <w:sz w:val="21"/>
          <w:szCs w:val="21"/>
        </w:rPr>
        <w:t>生态环境部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hint="eastAsia" w:ascii="宋体" w:hAnsi="宋体" w:eastAsia="宋体" w:cs="宋体"/>
          <w:i w:val="0"/>
          <w:sz w:val="21"/>
          <w:szCs w:val="21"/>
        </w:rPr>
      </w:pPr>
      <w:r>
        <w:rPr>
          <w:rFonts w:hint="eastAsia" w:ascii="宋体" w:hAnsi="宋体" w:eastAsia="宋体" w:cs="宋体"/>
          <w:i w:val="0"/>
          <w:caps w:val="0"/>
          <w:color w:val="070707"/>
          <w:spacing w:val="0"/>
          <w:sz w:val="21"/>
          <w:szCs w:val="21"/>
        </w:rPr>
        <w:t>国家卫生健康委员会</w:t>
      </w:r>
      <w:r>
        <w:rPr>
          <w:rFonts w:hint="default" w:ascii="Times New Roman" w:hAnsi="Times New Roman" w:eastAsia="宋体" w:cs="Times New Roman"/>
          <w:i w:val="0"/>
          <w:caps w:val="0"/>
          <w:color w:val="070707"/>
          <w:spacing w:val="0"/>
          <w:sz w:val="21"/>
          <w:szCs w:val="21"/>
        </w:rPr>
        <w:t> </w:t>
      </w:r>
      <w:r>
        <w:rPr>
          <w:rFonts w:hint="eastAsia" w:ascii="宋体" w:hAnsi="宋体" w:eastAsia="宋体" w:cs="宋体"/>
          <w:i w:val="0"/>
          <w:caps w:val="0"/>
          <w:color w:val="070707"/>
          <w:spacing w:val="0"/>
          <w:sz w:val="21"/>
          <w:szCs w:val="21"/>
        </w:rPr>
        <w:t>应急管理部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hint="eastAsia" w:ascii="宋体" w:hAnsi="宋体" w:eastAsia="宋体" w:cs="宋体"/>
          <w:i w:val="0"/>
          <w:sz w:val="21"/>
          <w:szCs w:val="21"/>
        </w:rPr>
      </w:pPr>
      <w:r>
        <w:rPr>
          <w:rFonts w:hint="eastAsia" w:ascii="宋体" w:hAnsi="宋体" w:eastAsia="宋体" w:cs="宋体"/>
          <w:i w:val="0"/>
          <w:caps w:val="0"/>
          <w:color w:val="070707"/>
          <w:spacing w:val="0"/>
          <w:sz w:val="21"/>
          <w:szCs w:val="21"/>
        </w:rPr>
        <w:t>国务院国有资产监督管理委员会</w:t>
      </w:r>
      <w:r>
        <w:rPr>
          <w:rFonts w:hint="default" w:ascii="Times New Roman" w:hAnsi="Times New Roman" w:eastAsia="宋体" w:cs="Times New Roman"/>
          <w:i w:val="0"/>
          <w:caps w:val="0"/>
          <w:color w:val="070707"/>
          <w:spacing w:val="0"/>
          <w:sz w:val="21"/>
          <w:szCs w:val="21"/>
        </w:rPr>
        <w:t> </w:t>
      </w:r>
      <w:r>
        <w:rPr>
          <w:rFonts w:hint="eastAsia" w:ascii="宋体" w:hAnsi="宋体" w:eastAsia="宋体" w:cs="宋体"/>
          <w:i w:val="0"/>
          <w:caps w:val="0"/>
          <w:color w:val="070707"/>
          <w:spacing w:val="0"/>
          <w:sz w:val="21"/>
          <w:szCs w:val="21"/>
        </w:rPr>
        <w:t>国家市场监督管理总局</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hint="eastAsia" w:ascii="宋体" w:hAnsi="宋体" w:eastAsia="宋体" w:cs="宋体"/>
          <w:i w:val="0"/>
          <w:sz w:val="21"/>
          <w:szCs w:val="21"/>
        </w:rPr>
      </w:pPr>
      <w:r>
        <w:rPr>
          <w:rFonts w:hint="eastAsia" w:ascii="宋体" w:hAnsi="宋体" w:eastAsia="宋体" w:cs="宋体"/>
          <w:i w:val="0"/>
          <w:caps w:val="0"/>
          <w:color w:val="070707"/>
          <w:spacing w:val="0"/>
          <w:sz w:val="21"/>
          <w:szCs w:val="21"/>
        </w:rPr>
        <w:t>国家能源局</w:t>
      </w:r>
      <w:r>
        <w:rPr>
          <w:rFonts w:hint="default" w:ascii="Times New Roman" w:hAnsi="Times New Roman" w:eastAsia="宋体" w:cs="Times New Roman"/>
          <w:i w:val="0"/>
          <w:caps w:val="0"/>
          <w:color w:val="070707"/>
          <w:spacing w:val="0"/>
          <w:sz w:val="21"/>
          <w:szCs w:val="21"/>
        </w:rPr>
        <w:t> </w:t>
      </w:r>
      <w:r>
        <w:rPr>
          <w:rFonts w:hint="eastAsia" w:ascii="宋体" w:hAnsi="宋体" w:eastAsia="宋体" w:cs="宋体"/>
          <w:i w:val="0"/>
          <w:caps w:val="0"/>
          <w:color w:val="070707"/>
          <w:spacing w:val="0"/>
          <w:sz w:val="21"/>
          <w:szCs w:val="21"/>
        </w:rPr>
        <w:t>国家国防科技工业局</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hint="eastAsia" w:ascii="宋体" w:hAnsi="宋体" w:eastAsia="宋体" w:cs="宋体"/>
          <w:i w:val="0"/>
          <w:sz w:val="21"/>
          <w:szCs w:val="21"/>
        </w:rPr>
      </w:pPr>
      <w:r>
        <w:rPr>
          <w:rFonts w:hint="default" w:ascii="Times New Roman" w:hAnsi="Times New Roman" w:eastAsia="宋体" w:cs="Times New Roman"/>
          <w:i w:val="0"/>
          <w:caps w:val="0"/>
          <w:color w:val="070707"/>
          <w:spacing w:val="0"/>
          <w:sz w:val="21"/>
          <w:szCs w:val="21"/>
        </w:rPr>
        <w:t>2019</w:t>
      </w:r>
      <w:r>
        <w:rPr>
          <w:rFonts w:hint="eastAsia" w:ascii="宋体" w:hAnsi="宋体" w:eastAsia="宋体" w:cs="宋体"/>
          <w:i w:val="0"/>
          <w:caps w:val="0"/>
          <w:color w:val="070707"/>
          <w:spacing w:val="0"/>
          <w:sz w:val="21"/>
          <w:szCs w:val="21"/>
        </w:rPr>
        <w:t>年</w:t>
      </w:r>
      <w:r>
        <w:rPr>
          <w:rFonts w:hint="default" w:ascii="Times New Roman" w:hAnsi="Times New Roman" w:eastAsia="宋体" w:cs="Times New Roman"/>
          <w:i w:val="0"/>
          <w:caps w:val="0"/>
          <w:color w:val="070707"/>
          <w:spacing w:val="0"/>
          <w:sz w:val="21"/>
          <w:szCs w:val="21"/>
        </w:rPr>
        <w:t>7</w:t>
      </w:r>
      <w:r>
        <w:rPr>
          <w:rFonts w:hint="eastAsia" w:ascii="宋体" w:hAnsi="宋体" w:eastAsia="宋体" w:cs="宋体"/>
          <w:i w:val="0"/>
          <w:caps w:val="0"/>
          <w:color w:val="070707"/>
          <w:spacing w:val="0"/>
          <w:sz w:val="21"/>
          <w:szCs w:val="21"/>
        </w:rPr>
        <w:t>月</w:t>
      </w:r>
      <w:r>
        <w:rPr>
          <w:rFonts w:hint="default" w:ascii="Times New Roman" w:hAnsi="Times New Roman" w:eastAsia="宋体" w:cs="Times New Roman"/>
          <w:i w:val="0"/>
          <w:caps w:val="0"/>
          <w:color w:val="070707"/>
          <w:spacing w:val="0"/>
          <w:sz w:val="21"/>
          <w:szCs w:val="21"/>
        </w:rPr>
        <w:t>26</w:t>
      </w:r>
      <w:r>
        <w:rPr>
          <w:rFonts w:hint="eastAsia" w:ascii="宋体" w:hAnsi="宋体" w:eastAsia="宋体" w:cs="宋体"/>
          <w:i w:val="0"/>
          <w:caps w:val="0"/>
          <w:color w:val="070707"/>
          <w:spacing w:val="0"/>
          <w:sz w:val="21"/>
          <w:szCs w:val="21"/>
        </w:rPr>
        <w:t>日</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rPr>
        <w:t>   </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i w:val="0"/>
          <w:sz w:val="30"/>
          <w:szCs w:val="30"/>
        </w:rPr>
      </w:pPr>
      <w:r>
        <w:rPr>
          <w:rStyle w:val="24"/>
          <w:rFonts w:hint="eastAsia" w:ascii="宋体" w:hAnsi="宋体" w:eastAsia="宋体" w:cs="宋体"/>
          <w:i w:val="0"/>
          <w:caps w:val="0"/>
          <w:color w:val="070707"/>
          <w:spacing w:val="0"/>
          <w:sz w:val="30"/>
          <w:szCs w:val="30"/>
        </w:rPr>
        <w:t>加强工业互联网安全工作的指导意见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0"/>
        <w:jc w:val="left"/>
        <w:rPr>
          <w:rFonts w:hint="eastAsia" w:ascii="宋体" w:hAnsi="宋体" w:eastAsia="宋体" w:cs="宋体"/>
          <w:i w:val="0"/>
          <w:caps w:val="0"/>
          <w:color w:val="070707"/>
          <w:spacing w:val="0"/>
          <w:sz w:val="16"/>
          <w:szCs w:val="16"/>
        </w:rPr>
      </w:pPr>
      <w:r>
        <w:rPr>
          <w:rFonts w:hint="eastAsia" w:ascii="宋体" w:hAnsi="宋体" w:eastAsia="宋体" w:cs="宋体"/>
          <w:i w:val="0"/>
          <w:caps w:val="0"/>
          <w:color w:val="070707"/>
          <w:spacing w:val="0"/>
          <w:kern w:val="0"/>
          <w:sz w:val="16"/>
          <w:szCs w:val="16"/>
          <w:lang w:val="en-US" w:eastAsia="zh-CN" w:bidi="ar"/>
        </w:rPr>
        <w:t>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b/>
          <w:bCs/>
          <w:i w:val="0"/>
          <w:caps w:val="0"/>
          <w:color w:val="070707"/>
          <w:spacing w:val="0"/>
          <w:sz w:val="21"/>
          <w:szCs w:val="21"/>
        </w:rPr>
      </w:pPr>
      <w:r>
        <w:rPr>
          <w:rFonts w:hint="eastAsia" w:ascii="宋体" w:hAnsi="宋体" w:eastAsia="宋体" w:cs="宋体"/>
          <w:i w:val="0"/>
          <w:caps w:val="0"/>
          <w:color w:val="070707"/>
          <w:spacing w:val="0"/>
          <w:sz w:val="21"/>
          <w:szCs w:val="21"/>
        </w:rPr>
        <w:t>按照《国务院关于深化“互联网+先进制造业”发展工业互联网的指导意见》（以下简称《指导意见》）部署，为加快构建工业互联网安全保障体系，提升工业互联网安全保障能力，促进工业互联网高质量发展，推动现代化经济体系建设，护航制造强国和网络强国战略实施，现就加强工业互联网安全工作提出如下意见。</w:t>
      </w:r>
      <w:r>
        <w:rPr>
          <w:rFonts w:hint="eastAsia" w:ascii="宋体" w:hAnsi="宋体" w:eastAsia="宋体" w:cs="宋体"/>
          <w:i w:val="0"/>
          <w:caps w:val="0"/>
          <w:color w:val="070707"/>
          <w:spacing w:val="0"/>
          <w:sz w:val="21"/>
          <w:szCs w:val="21"/>
        </w:rPr>
        <w:br w:type="textWrapping"/>
      </w:r>
      <w:r>
        <w:rPr>
          <w:rFonts w:hint="eastAsia" w:ascii="黑体" w:hAnsi="黑体" w:eastAsia="黑体" w:cs="黑体"/>
          <w:i w:val="0"/>
          <w:caps w:val="0"/>
          <w:color w:val="070707"/>
          <w:spacing w:val="0"/>
          <w:sz w:val="21"/>
          <w:szCs w:val="21"/>
        </w:rPr>
        <w:t>　　一、总体要求</w:t>
      </w:r>
      <w:r>
        <w:rPr>
          <w:rFonts w:hint="eastAsia" w:ascii="黑体" w:hAnsi="黑体" w:eastAsia="黑体" w:cs="黑体"/>
          <w:i w:val="0"/>
          <w:caps w:val="0"/>
          <w:color w:val="070707"/>
          <w:spacing w:val="0"/>
          <w:sz w:val="21"/>
          <w:szCs w:val="21"/>
        </w:rPr>
        <w:br w:type="textWrapping"/>
      </w:r>
      <w:r>
        <w:rPr>
          <w:rFonts w:hint="default" w:ascii="Times New Roman" w:hAnsi="Times New Roman" w:eastAsia="宋体" w:cs="Times New Roman"/>
          <w:b/>
          <w:bCs/>
          <w:i w:val="0"/>
          <w:caps w:val="0"/>
          <w:color w:val="070707"/>
          <w:spacing w:val="0"/>
          <w:sz w:val="21"/>
          <w:szCs w:val="21"/>
        </w:rPr>
        <w:t>　　</w:t>
      </w:r>
      <w:r>
        <w:rPr>
          <w:rFonts w:hint="eastAsia" w:ascii="宋体" w:hAnsi="宋体" w:eastAsia="宋体" w:cs="宋体"/>
          <w:b/>
          <w:bCs/>
          <w:i w:val="0"/>
          <w:caps w:val="0"/>
          <w:color w:val="070707"/>
          <w:spacing w:val="0"/>
          <w:sz w:val="21"/>
          <w:szCs w:val="21"/>
        </w:rPr>
        <w:t>（一）指导思想</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070707"/>
          <w:spacing w:val="0"/>
          <w:sz w:val="21"/>
          <w:szCs w:val="21"/>
        </w:rPr>
      </w:pPr>
      <w:r>
        <w:rPr>
          <w:rFonts w:hint="eastAsia" w:ascii="宋体" w:hAnsi="宋体" w:eastAsia="宋体" w:cs="宋体"/>
          <w:i w:val="0"/>
          <w:caps w:val="0"/>
          <w:color w:val="070707"/>
          <w:spacing w:val="0"/>
          <w:sz w:val="21"/>
          <w:szCs w:val="21"/>
        </w:rPr>
        <w:t>坚持以习近平新时代中国特色社会主义思想为指导，全面贯彻党的十九大和十九届二中、三中全会精神，按照《指导意见》有关要求，围绕设备、控制、网络、平台、数据安全，落实企业主体责任、政府监管责任，健全制度机制、建设技术手段、促进产业发展、强化人才培育，构建责任清晰、制度健全、技术先进的工业互联网安全保障体系，覆盖工业互联网规划、建设、运行等全生命周期，形成事前防范、事中监测、事后应急能力，全面提升工业互联网创新发展安全保障能力和服务水平。</w:t>
      </w:r>
    </w:p>
    <w:p>
      <w:pPr>
        <w:pStyle w:val="20"/>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369" w:firstLineChars="175"/>
        <w:textAlignment w:val="auto"/>
        <w:rPr>
          <w:rFonts w:hint="eastAsia" w:ascii="宋体" w:hAnsi="宋体" w:eastAsia="宋体" w:cs="宋体"/>
          <w:b/>
          <w:bCs/>
          <w:i w:val="0"/>
          <w:caps w:val="0"/>
          <w:color w:val="070707"/>
          <w:spacing w:val="0"/>
          <w:sz w:val="21"/>
          <w:szCs w:val="21"/>
        </w:rPr>
      </w:pPr>
      <w:r>
        <w:rPr>
          <w:rFonts w:hint="eastAsia" w:ascii="宋体" w:hAnsi="宋体" w:eastAsia="宋体" w:cs="宋体"/>
          <w:b/>
          <w:bCs/>
          <w:i w:val="0"/>
          <w:caps w:val="0"/>
          <w:color w:val="070707"/>
          <w:spacing w:val="0"/>
          <w:sz w:val="21"/>
          <w:szCs w:val="21"/>
        </w:rPr>
        <w:t>基本原则</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8" w:leftChars="0" w:right="0" w:rightChars="0" w:firstLine="359" w:firstLineChars="171"/>
        <w:textAlignment w:val="auto"/>
        <w:rPr>
          <w:rFonts w:hint="eastAsia" w:ascii="宋体" w:hAnsi="宋体" w:eastAsia="宋体" w:cs="宋体"/>
          <w:i w:val="0"/>
          <w:caps w:val="0"/>
          <w:color w:val="070707"/>
          <w:spacing w:val="0"/>
          <w:sz w:val="21"/>
          <w:szCs w:val="21"/>
        </w:rPr>
      </w:pPr>
      <w:r>
        <w:rPr>
          <w:rFonts w:hint="eastAsia" w:ascii="宋体" w:hAnsi="宋体" w:eastAsia="宋体" w:cs="宋体"/>
          <w:i w:val="0"/>
          <w:caps w:val="0"/>
          <w:color w:val="070707"/>
          <w:spacing w:val="0"/>
          <w:sz w:val="21"/>
          <w:szCs w:val="21"/>
        </w:rPr>
        <w:t>筑牢安全，保障发展。以安全保发展，以发展促安全。严格落实《中华人民共和国网络安全法》等法律法规，按照谁运营谁负责、谁主管谁负责的原则，坚持发展与安全并重，安全和发展同步规划、同步建设、同步运行。</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8" w:leftChars="0" w:right="0" w:rightChars="0" w:firstLine="359" w:firstLineChars="171"/>
        <w:textAlignment w:val="auto"/>
        <w:rPr>
          <w:rFonts w:hint="eastAsia" w:ascii="宋体" w:hAnsi="宋体" w:eastAsia="宋体" w:cs="宋体"/>
          <w:i w:val="0"/>
          <w:sz w:val="21"/>
          <w:szCs w:val="21"/>
        </w:rPr>
      </w:pPr>
      <w:r>
        <w:rPr>
          <w:rFonts w:hint="eastAsia" w:ascii="宋体" w:hAnsi="宋体" w:eastAsia="宋体" w:cs="宋体"/>
          <w:i w:val="0"/>
          <w:caps w:val="0"/>
          <w:color w:val="070707"/>
          <w:spacing w:val="0"/>
          <w:sz w:val="21"/>
          <w:szCs w:val="21"/>
        </w:rPr>
        <w:t>统筹指导，协同推进。做好顶层设计和系统谋划，结合各地实际，突出重点，分步协同推进，加快构建工业互联网安全保障体系，确保安全工作落实到位。</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sz w:val="21"/>
          <w:szCs w:val="21"/>
        </w:rPr>
      </w:pPr>
      <w:r>
        <w:rPr>
          <w:rFonts w:hint="eastAsia" w:ascii="宋体" w:hAnsi="宋体" w:eastAsia="宋体" w:cs="宋体"/>
          <w:i w:val="0"/>
          <w:caps w:val="0"/>
          <w:color w:val="070707"/>
          <w:spacing w:val="0"/>
          <w:sz w:val="21"/>
          <w:szCs w:val="21"/>
        </w:rPr>
        <w:t>分类施策，分级管理。根据行业重要性、企业规模、安全风险程度等因素，对企业实施分类分级管理，集中力量指导、监管重要行业、重点企业提升工业互联网安全保障能力，夯实企业安全主体责任。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070707"/>
          <w:spacing w:val="0"/>
          <w:sz w:val="21"/>
          <w:szCs w:val="21"/>
        </w:rPr>
      </w:pPr>
      <w:r>
        <w:rPr>
          <w:rFonts w:hint="eastAsia" w:ascii="宋体" w:hAnsi="宋体" w:eastAsia="宋体" w:cs="宋体"/>
          <w:i w:val="0"/>
          <w:caps w:val="0"/>
          <w:color w:val="070707"/>
          <w:spacing w:val="0"/>
          <w:sz w:val="21"/>
          <w:szCs w:val="21"/>
        </w:rPr>
        <w:t>融合创新，重点突破。基于工业互联网融合发展特性，创新安全管理机制和技术手段，鼓励推动重点领域技术突破，加快安全可靠产品的创新推广应用，有效应对新型安全挑战。</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sz w:val="21"/>
          <w:szCs w:val="21"/>
        </w:rPr>
      </w:pPr>
      <w:r>
        <w:rPr>
          <w:rFonts w:hint="eastAsia" w:ascii="宋体" w:hAnsi="宋体" w:eastAsia="宋体" w:cs="宋体"/>
          <w:b/>
          <w:bCs/>
          <w:i w:val="0"/>
          <w:caps w:val="0"/>
          <w:color w:val="070707"/>
          <w:spacing w:val="0"/>
          <w:sz w:val="21"/>
          <w:szCs w:val="21"/>
        </w:rPr>
        <w:t>（三）总体目标</w:t>
      </w:r>
      <w:r>
        <w:rPr>
          <w:rFonts w:hint="eastAsia" w:ascii="宋体" w:hAnsi="宋体" w:eastAsia="宋体" w:cs="宋体"/>
          <w:b/>
          <w:bCs/>
          <w:i w:val="0"/>
          <w:caps w:val="0"/>
          <w:color w:val="070707"/>
          <w:spacing w:val="0"/>
          <w:sz w:val="21"/>
          <w:szCs w:val="21"/>
        </w:rPr>
        <w:br w:type="textWrapping"/>
      </w:r>
      <w:r>
        <w:rPr>
          <w:rFonts w:hint="eastAsia" w:ascii="宋体" w:hAnsi="宋体" w:eastAsia="宋体" w:cs="宋体"/>
          <w:i w:val="0"/>
          <w:caps w:val="0"/>
          <w:color w:val="070707"/>
          <w:spacing w:val="0"/>
          <w:sz w:val="21"/>
          <w:szCs w:val="21"/>
        </w:rPr>
        <w:t>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sz w:val="21"/>
          <w:szCs w:val="21"/>
        </w:rPr>
      </w:pPr>
      <w:r>
        <w:rPr>
          <w:rFonts w:hint="eastAsia" w:ascii="宋体" w:hAnsi="宋体" w:eastAsia="宋体" w:cs="宋体"/>
          <w:i w:val="0"/>
          <w:caps w:val="0"/>
          <w:color w:val="070707"/>
          <w:spacing w:val="0"/>
          <w:sz w:val="21"/>
          <w:szCs w:val="21"/>
        </w:rPr>
        <w:t>到</w:t>
      </w:r>
      <w:r>
        <w:rPr>
          <w:rFonts w:hint="default" w:ascii="Times New Roman" w:hAnsi="Times New Roman" w:eastAsia="宋体" w:cs="Times New Roman"/>
          <w:i w:val="0"/>
          <w:caps w:val="0"/>
          <w:color w:val="070707"/>
          <w:spacing w:val="0"/>
          <w:sz w:val="21"/>
          <w:szCs w:val="21"/>
        </w:rPr>
        <w:t>2020</w:t>
      </w:r>
      <w:r>
        <w:rPr>
          <w:rFonts w:hint="eastAsia" w:ascii="宋体" w:hAnsi="宋体" w:eastAsia="宋体" w:cs="宋体"/>
          <w:i w:val="0"/>
          <w:caps w:val="0"/>
          <w:color w:val="070707"/>
          <w:spacing w:val="0"/>
          <w:sz w:val="21"/>
          <w:szCs w:val="21"/>
        </w:rPr>
        <w:t>年底，工业互联网安全保障体系初步建立。制度机制方面，建立监督检查、信息共享和通报、应急处置等工业互联网安全管理制度，构建企业安全主体责任制，制定设备、平台、数据等至少</w:t>
      </w:r>
      <w:r>
        <w:rPr>
          <w:rFonts w:hint="default" w:ascii="Times New Roman" w:hAnsi="Times New Roman" w:eastAsia="宋体" w:cs="Times New Roman"/>
          <w:i w:val="0"/>
          <w:caps w:val="0"/>
          <w:color w:val="070707"/>
          <w:spacing w:val="0"/>
          <w:sz w:val="21"/>
          <w:szCs w:val="21"/>
        </w:rPr>
        <w:t>20</w:t>
      </w:r>
      <w:r>
        <w:rPr>
          <w:rFonts w:hint="eastAsia" w:ascii="宋体" w:hAnsi="宋体" w:eastAsia="宋体" w:cs="宋体"/>
          <w:i w:val="0"/>
          <w:caps w:val="0"/>
          <w:color w:val="070707"/>
          <w:spacing w:val="0"/>
          <w:sz w:val="21"/>
          <w:szCs w:val="21"/>
        </w:rPr>
        <w:t>项亟需的工业互联网安全标准，探索构建工业互联网安全评估体系。技术手段方面，初步建成国家工业互联网安全技术保障平台、基础资源库和安全测试验证环境。产业发展方面，在汽车、电子信息、航空航天、能源等重点领域，形成至少</w:t>
      </w:r>
      <w:r>
        <w:rPr>
          <w:rFonts w:hint="default" w:ascii="Times New Roman" w:hAnsi="Times New Roman" w:eastAsia="宋体" w:cs="Times New Roman"/>
          <w:i w:val="0"/>
          <w:caps w:val="0"/>
          <w:color w:val="070707"/>
          <w:spacing w:val="0"/>
          <w:sz w:val="21"/>
          <w:szCs w:val="21"/>
        </w:rPr>
        <w:t>20</w:t>
      </w:r>
      <w:r>
        <w:rPr>
          <w:rFonts w:hint="eastAsia" w:ascii="宋体" w:hAnsi="宋体" w:eastAsia="宋体" w:cs="宋体"/>
          <w:i w:val="0"/>
          <w:caps w:val="0"/>
          <w:color w:val="070707"/>
          <w:spacing w:val="0"/>
          <w:sz w:val="21"/>
          <w:szCs w:val="21"/>
        </w:rPr>
        <w:t>个创新实用的安全产品、解决方案的试点示范，培育若干具有核心竞争力的工业互联网安全企业。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sz w:val="21"/>
          <w:szCs w:val="21"/>
        </w:rPr>
      </w:pPr>
      <w:r>
        <w:rPr>
          <w:rFonts w:hint="eastAsia" w:ascii="宋体" w:hAnsi="宋体" w:eastAsia="宋体" w:cs="宋体"/>
          <w:i w:val="0"/>
          <w:caps w:val="0"/>
          <w:color w:val="070707"/>
          <w:spacing w:val="0"/>
          <w:sz w:val="21"/>
          <w:szCs w:val="21"/>
        </w:rPr>
        <w:t>到</w:t>
      </w:r>
      <w:r>
        <w:rPr>
          <w:rFonts w:hint="default" w:ascii="Times New Roman" w:hAnsi="Times New Roman" w:eastAsia="宋体" w:cs="Times New Roman"/>
          <w:i w:val="0"/>
          <w:caps w:val="0"/>
          <w:color w:val="070707"/>
          <w:spacing w:val="0"/>
          <w:sz w:val="21"/>
          <w:szCs w:val="21"/>
        </w:rPr>
        <w:t>2025</w:t>
      </w:r>
      <w:r>
        <w:rPr>
          <w:rFonts w:hint="eastAsia" w:ascii="宋体" w:hAnsi="宋体" w:eastAsia="宋体" w:cs="宋体"/>
          <w:i w:val="0"/>
          <w:caps w:val="0"/>
          <w:color w:val="070707"/>
          <w:spacing w:val="0"/>
          <w:sz w:val="21"/>
          <w:szCs w:val="21"/>
        </w:rPr>
        <w:t>年，制度机制健全完善，技术手段能力显著提升，安全产业形成规模，基本建立起较为完备可靠的工业互联网安全保障体系。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黑体" w:hAnsi="黑体" w:eastAsia="黑体" w:cs="黑体"/>
          <w:i w:val="0"/>
          <w:caps w:val="0"/>
          <w:color w:val="070707"/>
          <w:spacing w:val="0"/>
          <w:sz w:val="21"/>
          <w:szCs w:val="21"/>
        </w:rPr>
      </w:pPr>
      <w:r>
        <w:rPr>
          <w:rFonts w:hint="eastAsia" w:ascii="黑体" w:hAnsi="黑体" w:eastAsia="黑体" w:cs="黑体"/>
          <w:i w:val="0"/>
          <w:caps w:val="0"/>
          <w:color w:val="070707"/>
          <w:spacing w:val="0"/>
          <w:sz w:val="21"/>
          <w:szCs w:val="21"/>
        </w:rPr>
        <w:t>二、主要任务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b/>
          <w:bCs/>
          <w:i w:val="0"/>
          <w:sz w:val="21"/>
          <w:szCs w:val="21"/>
        </w:rPr>
      </w:pPr>
      <w:r>
        <w:rPr>
          <w:rFonts w:hint="eastAsia" w:ascii="宋体" w:hAnsi="宋体" w:eastAsia="宋体" w:cs="宋体"/>
          <w:b/>
          <w:bCs/>
          <w:i w:val="0"/>
          <w:caps w:val="0"/>
          <w:color w:val="070707"/>
          <w:spacing w:val="0"/>
          <w:sz w:val="21"/>
          <w:szCs w:val="21"/>
        </w:rPr>
        <w:t>（一）推动工业互联网安全责任落实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sz w:val="21"/>
          <w:szCs w:val="21"/>
        </w:rPr>
      </w:pPr>
      <w:r>
        <w:rPr>
          <w:rFonts w:hint="default" w:ascii="Times New Roman" w:hAnsi="Times New Roman" w:eastAsia="宋体" w:cs="Times New Roman"/>
          <w:i w:val="0"/>
          <w:caps w:val="0"/>
          <w:color w:val="070707"/>
          <w:spacing w:val="0"/>
          <w:sz w:val="21"/>
          <w:szCs w:val="21"/>
        </w:rPr>
        <w:t>1</w:t>
      </w:r>
      <w:r>
        <w:rPr>
          <w:rFonts w:hint="eastAsia" w:ascii="宋体" w:hAnsi="宋体" w:eastAsia="宋体" w:cs="宋体"/>
          <w:i w:val="0"/>
          <w:caps w:val="0"/>
          <w:color w:val="070707"/>
          <w:spacing w:val="0"/>
          <w:sz w:val="21"/>
          <w:szCs w:val="21"/>
        </w:rPr>
        <w:t>.依法落实企业主体责任。工业互联网企业明确工业互联网安全责任部门和责任人，建立健全重点设备装置和系统平台联网前后的风险评估、安全审计等制度，建立安全事件报告和问责机制，加大安全投入，部署有效安全技术防护手段，保障工业互联网安全稳定运行。由网络安全事件引发的安全生产事故，按照安全生产有关法规进行处置。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sz w:val="21"/>
          <w:szCs w:val="21"/>
        </w:rPr>
      </w:pPr>
      <w:r>
        <w:rPr>
          <w:rFonts w:hint="default" w:ascii="Times New Roman" w:hAnsi="Times New Roman" w:eastAsia="宋体" w:cs="Times New Roman"/>
          <w:i w:val="0"/>
          <w:caps w:val="0"/>
          <w:color w:val="070707"/>
          <w:spacing w:val="0"/>
          <w:sz w:val="21"/>
          <w:szCs w:val="21"/>
        </w:rPr>
        <w:t>2</w:t>
      </w:r>
      <w:r>
        <w:rPr>
          <w:rFonts w:hint="eastAsia" w:ascii="宋体" w:hAnsi="宋体" w:eastAsia="宋体" w:cs="宋体"/>
          <w:i w:val="0"/>
          <w:caps w:val="0"/>
          <w:color w:val="070707"/>
          <w:spacing w:val="0"/>
          <w:sz w:val="21"/>
          <w:szCs w:val="21"/>
        </w:rPr>
        <w:t>.政府履行监督管理责任。工业和信息化部组织开展工业互联网安全相关政策制定、标准研制等综合性工作，并对装备制造、电子信息及通信等主管行业领域的工业互联网安全开展行业指导管理。地方工业和信息化主管部门指导本行政区域内应用工业互联网的工业企业的安全工作，同步推进安全产业发展，并联合应急管理部门推进工业互联网在安全生产监管中的作用；地方通信管理局监管本行政区域内标识解析系统、公共工业互联网平台等的安全工作，并在公共互联网上对联网设备、系统等进行安全监测。生态环境、卫生健康、能源、国防科技工业等部门根据各自职责，开展本行业领域工业互联网推广应用的安全指导、监管工作。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b/>
          <w:bCs/>
          <w:i w:val="0"/>
          <w:sz w:val="21"/>
          <w:szCs w:val="21"/>
        </w:rPr>
      </w:pPr>
      <w:r>
        <w:rPr>
          <w:rFonts w:hint="eastAsia" w:ascii="宋体" w:hAnsi="宋体" w:eastAsia="宋体" w:cs="宋体"/>
          <w:b/>
          <w:bCs/>
          <w:i w:val="0"/>
          <w:caps w:val="0"/>
          <w:color w:val="070707"/>
          <w:spacing w:val="0"/>
          <w:sz w:val="21"/>
          <w:szCs w:val="21"/>
        </w:rPr>
        <w:t>（二）构建工业互联网安全管理体系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sz w:val="21"/>
          <w:szCs w:val="21"/>
        </w:rPr>
      </w:pPr>
      <w:r>
        <w:rPr>
          <w:rFonts w:hint="default" w:ascii="Times New Roman" w:hAnsi="Times New Roman" w:eastAsia="宋体" w:cs="Times New Roman"/>
          <w:i w:val="0"/>
          <w:caps w:val="0"/>
          <w:color w:val="070707"/>
          <w:spacing w:val="0"/>
          <w:sz w:val="21"/>
          <w:szCs w:val="21"/>
        </w:rPr>
        <w:t>3</w:t>
      </w:r>
      <w:r>
        <w:rPr>
          <w:rFonts w:hint="eastAsia" w:ascii="宋体" w:hAnsi="宋体" w:eastAsia="宋体" w:cs="宋体"/>
          <w:i w:val="0"/>
          <w:caps w:val="0"/>
          <w:color w:val="070707"/>
          <w:spacing w:val="0"/>
          <w:sz w:val="21"/>
          <w:szCs w:val="21"/>
        </w:rPr>
        <w:t>.健全安全管理制度。围绕工业互联网安全监督检查、风险评估、数据保护、信息共享和通报、应急处置等方面建立健全安全管理制度和工作机制，强化对企业的安全监管。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sz w:val="21"/>
          <w:szCs w:val="21"/>
        </w:rPr>
      </w:pPr>
      <w:r>
        <w:rPr>
          <w:rFonts w:hint="default" w:ascii="Times New Roman" w:hAnsi="Times New Roman" w:eastAsia="宋体" w:cs="Times New Roman"/>
          <w:i w:val="0"/>
          <w:caps w:val="0"/>
          <w:color w:val="070707"/>
          <w:spacing w:val="0"/>
          <w:sz w:val="21"/>
          <w:szCs w:val="21"/>
        </w:rPr>
        <w:t>4</w:t>
      </w:r>
      <w:r>
        <w:rPr>
          <w:rFonts w:hint="eastAsia" w:ascii="宋体" w:hAnsi="宋体" w:eastAsia="宋体" w:cs="宋体"/>
          <w:i w:val="0"/>
          <w:caps w:val="0"/>
          <w:color w:val="070707"/>
          <w:spacing w:val="0"/>
          <w:sz w:val="21"/>
          <w:szCs w:val="21"/>
        </w:rPr>
        <w:t>.建立分类分级管理机制。建立工业互联网行业分类指导目录、企业分级指标体系，制定工业互联网行业企业分类分级指南，形成重点企业清单，强化逐级负责的政府监管模式，实施差异化管理。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sz w:val="21"/>
          <w:szCs w:val="21"/>
        </w:rPr>
      </w:pPr>
      <w:r>
        <w:rPr>
          <w:rFonts w:hint="default" w:ascii="Times New Roman" w:hAnsi="Times New Roman" w:eastAsia="宋体" w:cs="Times New Roman"/>
          <w:i w:val="0"/>
          <w:caps w:val="0"/>
          <w:color w:val="070707"/>
          <w:spacing w:val="0"/>
          <w:sz w:val="21"/>
          <w:szCs w:val="21"/>
        </w:rPr>
        <w:t>5</w:t>
      </w:r>
      <w:r>
        <w:rPr>
          <w:rFonts w:hint="eastAsia" w:ascii="宋体" w:hAnsi="宋体" w:eastAsia="宋体" w:cs="宋体"/>
          <w:i w:val="0"/>
          <w:caps w:val="0"/>
          <w:color w:val="070707"/>
          <w:spacing w:val="0"/>
          <w:sz w:val="21"/>
          <w:szCs w:val="21"/>
        </w:rPr>
        <w:t>.建立工业互联网安全标准体系。推动工业互联网设备、控制、网络（含标识解析系统）、平台、数据等重点领域安全标准的研究制定，建设安全技术与标准试验验证环境，支持专业机构、企业积极参与相关国际标准制定，加快标准落地实施。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b/>
          <w:bCs/>
          <w:i w:val="0"/>
          <w:sz w:val="21"/>
          <w:szCs w:val="21"/>
        </w:rPr>
      </w:pPr>
      <w:r>
        <w:rPr>
          <w:rFonts w:hint="eastAsia" w:ascii="宋体" w:hAnsi="宋体" w:eastAsia="宋体" w:cs="宋体"/>
          <w:b/>
          <w:bCs/>
          <w:i w:val="0"/>
          <w:caps w:val="0"/>
          <w:color w:val="070707"/>
          <w:spacing w:val="0"/>
          <w:sz w:val="21"/>
          <w:szCs w:val="21"/>
        </w:rPr>
        <w:t>（三）提升企业工业互联网安全防护水平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sz w:val="21"/>
          <w:szCs w:val="21"/>
        </w:rPr>
      </w:pPr>
      <w:r>
        <w:rPr>
          <w:rFonts w:hint="default" w:ascii="Times New Roman" w:hAnsi="Times New Roman" w:eastAsia="宋体" w:cs="Times New Roman"/>
          <w:i w:val="0"/>
          <w:caps w:val="0"/>
          <w:color w:val="070707"/>
          <w:spacing w:val="0"/>
          <w:sz w:val="21"/>
          <w:szCs w:val="21"/>
        </w:rPr>
        <w:t>6</w:t>
      </w:r>
      <w:r>
        <w:rPr>
          <w:rFonts w:hint="eastAsia" w:ascii="宋体" w:hAnsi="宋体" w:eastAsia="宋体" w:cs="宋体"/>
          <w:i w:val="0"/>
          <w:caps w:val="0"/>
          <w:color w:val="070707"/>
          <w:spacing w:val="0"/>
          <w:sz w:val="21"/>
          <w:szCs w:val="21"/>
        </w:rPr>
        <w:t>.夯实设备和控制安全。督促工业企业部署针对性防护措施，加强工业生产、主机、智能终端等设备安全接入和防护，强化控制网络协议、装置装备、工业软件等安全保障，推动设备制造商、自动化集成商与安全企业加强合作，提升设备和控制系统的本质安全。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sz w:val="21"/>
          <w:szCs w:val="21"/>
        </w:rPr>
      </w:pPr>
      <w:r>
        <w:rPr>
          <w:rFonts w:hint="default" w:ascii="Times New Roman" w:hAnsi="Times New Roman" w:eastAsia="宋体" w:cs="Times New Roman"/>
          <w:i w:val="0"/>
          <w:caps w:val="0"/>
          <w:color w:val="070707"/>
          <w:spacing w:val="0"/>
          <w:sz w:val="21"/>
          <w:szCs w:val="21"/>
        </w:rPr>
        <w:t>7</w:t>
      </w:r>
      <w:r>
        <w:rPr>
          <w:rFonts w:hint="eastAsia" w:ascii="宋体" w:hAnsi="宋体" w:eastAsia="宋体" w:cs="宋体"/>
          <w:i w:val="0"/>
          <w:caps w:val="0"/>
          <w:color w:val="070707"/>
          <w:spacing w:val="0"/>
          <w:sz w:val="21"/>
          <w:szCs w:val="21"/>
        </w:rPr>
        <w:t>.提升网络设施安全。指导工业企业、基础电信企业在网络化改造及部署IPv</w:t>
      </w:r>
      <w:r>
        <w:rPr>
          <w:rFonts w:hint="default" w:ascii="Times New Roman" w:hAnsi="Times New Roman" w:eastAsia="宋体" w:cs="Times New Roman"/>
          <w:i w:val="0"/>
          <w:caps w:val="0"/>
          <w:color w:val="070707"/>
          <w:spacing w:val="0"/>
          <w:sz w:val="21"/>
          <w:szCs w:val="21"/>
        </w:rPr>
        <w:t>6</w:t>
      </w:r>
      <w:r>
        <w:rPr>
          <w:rFonts w:hint="eastAsia" w:ascii="宋体" w:hAnsi="宋体" w:eastAsia="宋体" w:cs="宋体"/>
          <w:i w:val="0"/>
          <w:caps w:val="0"/>
          <w:color w:val="070707"/>
          <w:spacing w:val="0"/>
          <w:sz w:val="21"/>
          <w:szCs w:val="21"/>
        </w:rPr>
        <w:t>、应用</w:t>
      </w:r>
      <w:r>
        <w:rPr>
          <w:rFonts w:hint="default" w:ascii="Times New Roman" w:hAnsi="Times New Roman" w:eastAsia="宋体" w:cs="Times New Roman"/>
          <w:i w:val="0"/>
          <w:caps w:val="0"/>
          <w:color w:val="070707"/>
          <w:spacing w:val="0"/>
          <w:sz w:val="21"/>
          <w:szCs w:val="21"/>
        </w:rPr>
        <w:t>5</w:t>
      </w:r>
      <w:r>
        <w:rPr>
          <w:rFonts w:hint="eastAsia" w:ascii="宋体" w:hAnsi="宋体" w:eastAsia="宋体" w:cs="宋体"/>
          <w:i w:val="0"/>
          <w:caps w:val="0"/>
          <w:color w:val="070707"/>
          <w:spacing w:val="0"/>
          <w:sz w:val="21"/>
          <w:szCs w:val="21"/>
        </w:rPr>
        <w:t>G的过程中，落实安全标准要求并开展安全评估，部署安全设施，提升企业内外网的安全防护能力。要求标识解析系统的建设运营单位同步加强安全防护技术能力建设，确保标识解析系统的安全运行。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sz w:val="21"/>
          <w:szCs w:val="21"/>
        </w:rPr>
      </w:pPr>
      <w:r>
        <w:rPr>
          <w:rFonts w:hint="default" w:ascii="Times New Roman" w:hAnsi="Times New Roman" w:eastAsia="宋体" w:cs="Times New Roman"/>
          <w:i w:val="0"/>
          <w:caps w:val="0"/>
          <w:color w:val="070707"/>
          <w:spacing w:val="0"/>
          <w:sz w:val="21"/>
          <w:szCs w:val="21"/>
        </w:rPr>
        <w:t>8</w:t>
      </w:r>
      <w:r>
        <w:rPr>
          <w:rFonts w:hint="eastAsia" w:ascii="宋体" w:hAnsi="宋体" w:eastAsia="宋体" w:cs="宋体"/>
          <w:i w:val="0"/>
          <w:caps w:val="0"/>
          <w:color w:val="070707"/>
          <w:spacing w:val="0"/>
          <w:sz w:val="21"/>
          <w:szCs w:val="21"/>
        </w:rPr>
        <w:t>.强化平台和工业应用程序（APP）安全。要求工业互联网平台的建设、运营单位按照相关标准开展平台建设，在平台上线前进行安全评估，针对边缘层、IaaS层（云基础设施）、平台层（工业PaaS）、应用层（工业SaaS）分层部署安全防护措施。建立健全工业APP应用前安全检测机制，强化应用过程中用户信息和数据安全保护。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b/>
          <w:bCs/>
          <w:i w:val="0"/>
          <w:sz w:val="21"/>
          <w:szCs w:val="21"/>
        </w:rPr>
      </w:pPr>
      <w:r>
        <w:rPr>
          <w:rFonts w:hint="eastAsia" w:ascii="宋体" w:hAnsi="宋体" w:eastAsia="宋体" w:cs="宋体"/>
          <w:b/>
          <w:bCs/>
          <w:i w:val="0"/>
          <w:caps w:val="0"/>
          <w:color w:val="070707"/>
          <w:spacing w:val="0"/>
          <w:sz w:val="21"/>
          <w:szCs w:val="21"/>
        </w:rPr>
        <w:t>（四）强化工业互联网数据安全保护能力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sz w:val="21"/>
          <w:szCs w:val="21"/>
        </w:rPr>
      </w:pPr>
      <w:r>
        <w:rPr>
          <w:rFonts w:hint="default" w:ascii="Times New Roman" w:hAnsi="Times New Roman" w:eastAsia="宋体" w:cs="Times New Roman"/>
          <w:i w:val="0"/>
          <w:caps w:val="0"/>
          <w:color w:val="070707"/>
          <w:spacing w:val="0"/>
          <w:sz w:val="21"/>
          <w:szCs w:val="21"/>
        </w:rPr>
        <w:t>9</w:t>
      </w:r>
      <w:r>
        <w:rPr>
          <w:rFonts w:hint="eastAsia" w:ascii="宋体" w:hAnsi="宋体" w:eastAsia="宋体" w:cs="宋体"/>
          <w:i w:val="0"/>
          <w:caps w:val="0"/>
          <w:color w:val="070707"/>
          <w:spacing w:val="0"/>
          <w:sz w:val="21"/>
          <w:szCs w:val="21"/>
        </w:rPr>
        <w:t>.强化企业数据安全防护能力。明确数据收集、存储、处理、转移、删除等环节安全保护要求，指导企业完善研发设计、工业生产、运维管理、平台知识机理和数字化模型等数据的防窃密、防篡改和数据备份等安全防护措施，鼓励商用密码在工业互联网数据保护工作中的应用。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sz w:val="21"/>
          <w:szCs w:val="21"/>
        </w:rPr>
      </w:pPr>
      <w:r>
        <w:rPr>
          <w:rFonts w:hint="default" w:ascii="Times New Roman" w:hAnsi="Times New Roman" w:eastAsia="宋体" w:cs="Times New Roman"/>
          <w:i w:val="0"/>
          <w:caps w:val="0"/>
          <w:color w:val="070707"/>
          <w:spacing w:val="0"/>
          <w:sz w:val="21"/>
          <w:szCs w:val="21"/>
        </w:rPr>
        <w:t>10</w:t>
      </w:r>
      <w:r>
        <w:rPr>
          <w:rFonts w:hint="eastAsia" w:ascii="宋体" w:hAnsi="宋体" w:eastAsia="宋体" w:cs="宋体"/>
          <w:i w:val="0"/>
          <w:caps w:val="0"/>
          <w:color w:val="070707"/>
          <w:spacing w:val="0"/>
          <w:sz w:val="21"/>
          <w:szCs w:val="21"/>
        </w:rPr>
        <w:t>.建立工业互联网全产业链数据安全管理体系。依据工业门类领域、数据类型、数据价值等建立工业互联网数据分级分类管理制度，开展重要数据出境安全评估和监测，完善重大工业互联网数据泄露事件触发响应机制。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b/>
          <w:bCs/>
          <w:i w:val="0"/>
          <w:sz w:val="21"/>
          <w:szCs w:val="21"/>
        </w:rPr>
      </w:pPr>
      <w:r>
        <w:rPr>
          <w:rFonts w:hint="eastAsia" w:ascii="宋体" w:hAnsi="宋体" w:eastAsia="宋体" w:cs="宋体"/>
          <w:b/>
          <w:bCs/>
          <w:i w:val="0"/>
          <w:caps w:val="0"/>
          <w:color w:val="070707"/>
          <w:spacing w:val="0"/>
          <w:sz w:val="21"/>
          <w:szCs w:val="21"/>
        </w:rPr>
        <w:t>（五）建设国家工业互联网安全技术手段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sz w:val="21"/>
          <w:szCs w:val="21"/>
        </w:rPr>
      </w:pPr>
      <w:r>
        <w:rPr>
          <w:rFonts w:hint="default" w:ascii="Times New Roman" w:hAnsi="Times New Roman" w:eastAsia="宋体" w:cs="Times New Roman"/>
          <w:i w:val="0"/>
          <w:caps w:val="0"/>
          <w:color w:val="070707"/>
          <w:spacing w:val="0"/>
          <w:sz w:val="21"/>
          <w:szCs w:val="21"/>
        </w:rPr>
        <w:t>11</w:t>
      </w:r>
      <w:r>
        <w:rPr>
          <w:rFonts w:hint="eastAsia" w:ascii="宋体" w:hAnsi="宋体" w:eastAsia="宋体" w:cs="宋体"/>
          <w:i w:val="0"/>
          <w:caps w:val="0"/>
          <w:color w:val="070707"/>
          <w:spacing w:val="0"/>
          <w:sz w:val="21"/>
          <w:szCs w:val="21"/>
        </w:rPr>
        <w:t>.建设国家、省、企业三级协同的工业互联网安全技术保障平台。工业和信息化部统筹建设国家工业互联网安全技术保障平台。工业基础较好的省、自治区、直辖市先期试点建设省级技术保障平台。支持鼓励机械制造、电子信息、航空航天等重点行业企业建设企业级安全平台，强化地方、企业与国家平台之间的系统对接、数据共享、业务协作，打造整体态势感知、信息共享和应急协同能力。</w:t>
      </w:r>
      <w:r>
        <w:rPr>
          <w:rFonts w:hint="eastAsia" w:ascii="宋体" w:hAnsi="宋体" w:eastAsia="宋体" w:cs="宋体"/>
          <w:i w:val="0"/>
          <w:caps w:val="0"/>
          <w:color w:val="070707"/>
          <w:spacing w:val="0"/>
          <w:sz w:val="21"/>
          <w:szCs w:val="21"/>
        </w:rPr>
        <w:br w:type="textWrapping"/>
      </w:r>
      <w:r>
        <w:rPr>
          <w:rFonts w:hint="eastAsia" w:ascii="宋体" w:hAnsi="宋体" w:eastAsia="宋体" w:cs="宋体"/>
          <w:i w:val="0"/>
          <w:caps w:val="0"/>
          <w:color w:val="070707"/>
          <w:spacing w:val="0"/>
          <w:sz w:val="21"/>
          <w:szCs w:val="21"/>
        </w:rPr>
        <w:t>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sz w:val="21"/>
          <w:szCs w:val="21"/>
        </w:rPr>
      </w:pPr>
      <w:r>
        <w:rPr>
          <w:rFonts w:hint="default" w:ascii="Times New Roman" w:hAnsi="Times New Roman" w:eastAsia="宋体" w:cs="Times New Roman"/>
          <w:i w:val="0"/>
          <w:caps w:val="0"/>
          <w:color w:val="070707"/>
          <w:spacing w:val="0"/>
          <w:sz w:val="21"/>
          <w:szCs w:val="21"/>
        </w:rPr>
        <w:t>12</w:t>
      </w:r>
      <w:r>
        <w:rPr>
          <w:rFonts w:hint="eastAsia" w:ascii="宋体" w:hAnsi="宋体" w:eastAsia="宋体" w:cs="宋体"/>
          <w:i w:val="0"/>
          <w:caps w:val="0"/>
          <w:color w:val="070707"/>
          <w:spacing w:val="0"/>
          <w:sz w:val="21"/>
          <w:szCs w:val="21"/>
        </w:rPr>
        <w:t>.建立工业互联网安全基础资源库。建设工业互联网资产目录库、工业协议库、安全漏洞库、恶意代码病毒库和安全威胁信息库等基础资源库，推动研制面向典型行业工业互联网安全应急处置、安全事件现场取证等工具集，加强工业互联网安全资源储备。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sz w:val="21"/>
          <w:szCs w:val="21"/>
        </w:rPr>
      </w:pPr>
      <w:r>
        <w:rPr>
          <w:rFonts w:hint="default" w:ascii="Times New Roman" w:hAnsi="Times New Roman" w:eastAsia="宋体" w:cs="Times New Roman"/>
          <w:i w:val="0"/>
          <w:caps w:val="0"/>
          <w:color w:val="070707"/>
          <w:spacing w:val="0"/>
          <w:sz w:val="21"/>
          <w:szCs w:val="21"/>
        </w:rPr>
        <w:t>13</w:t>
      </w:r>
      <w:r>
        <w:rPr>
          <w:rFonts w:hint="eastAsia" w:ascii="宋体" w:hAnsi="宋体" w:eastAsia="宋体" w:cs="宋体"/>
          <w:i w:val="0"/>
          <w:caps w:val="0"/>
          <w:color w:val="070707"/>
          <w:spacing w:val="0"/>
          <w:sz w:val="21"/>
          <w:szCs w:val="21"/>
        </w:rPr>
        <w:t>.建设工业互联网安全测试验证环境。搭建面向机械制造、电子信息、航空航天等行业的工业互联网安全攻防演练环境，测试、验证各环节存在的网络安全风险以及相应的安全防护解决方案，提升识别安全隐患、抵御安全威胁、化解安全风险的能力。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b/>
          <w:bCs/>
          <w:i w:val="0"/>
          <w:sz w:val="21"/>
          <w:szCs w:val="21"/>
        </w:rPr>
      </w:pPr>
      <w:r>
        <w:rPr>
          <w:rFonts w:hint="eastAsia" w:ascii="宋体" w:hAnsi="宋体" w:eastAsia="宋体" w:cs="宋体"/>
          <w:b/>
          <w:bCs/>
          <w:i w:val="0"/>
          <w:caps w:val="0"/>
          <w:color w:val="070707"/>
          <w:spacing w:val="0"/>
          <w:sz w:val="21"/>
          <w:szCs w:val="21"/>
        </w:rPr>
        <w:t>（六）加强工业互联网安全公共服务能力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sz w:val="21"/>
          <w:szCs w:val="21"/>
        </w:rPr>
      </w:pPr>
      <w:r>
        <w:rPr>
          <w:rFonts w:hint="default" w:ascii="Times New Roman" w:hAnsi="Times New Roman" w:eastAsia="宋体" w:cs="Times New Roman"/>
          <w:i w:val="0"/>
          <w:caps w:val="0"/>
          <w:color w:val="070707"/>
          <w:spacing w:val="0"/>
          <w:sz w:val="21"/>
          <w:szCs w:val="21"/>
        </w:rPr>
        <w:t>14</w:t>
      </w:r>
      <w:r>
        <w:rPr>
          <w:rFonts w:hint="eastAsia" w:ascii="宋体" w:hAnsi="宋体" w:eastAsia="宋体" w:cs="宋体"/>
          <w:i w:val="0"/>
          <w:caps w:val="0"/>
          <w:color w:val="070707"/>
          <w:spacing w:val="0"/>
          <w:sz w:val="21"/>
          <w:szCs w:val="21"/>
        </w:rPr>
        <w:t>.开展工业互联网安全评估认证。构建工业互联网设备、网络、平台、工业APP等的安全评估体系，依托产业联盟、行业协会等第三方机构为工业互联网企业持续开展安全能力评测评估服务，推动工业互联网安全测评机构的审核认定。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sz w:val="21"/>
          <w:szCs w:val="21"/>
        </w:rPr>
      </w:pPr>
      <w:r>
        <w:rPr>
          <w:rFonts w:hint="default" w:ascii="Times New Roman" w:hAnsi="Times New Roman" w:eastAsia="宋体" w:cs="Times New Roman"/>
          <w:i w:val="0"/>
          <w:caps w:val="0"/>
          <w:color w:val="070707"/>
          <w:spacing w:val="0"/>
          <w:sz w:val="21"/>
          <w:szCs w:val="21"/>
        </w:rPr>
        <w:t>15</w:t>
      </w:r>
      <w:r>
        <w:rPr>
          <w:rFonts w:hint="eastAsia" w:ascii="宋体" w:hAnsi="宋体" w:eastAsia="宋体" w:cs="宋体"/>
          <w:i w:val="0"/>
          <w:caps w:val="0"/>
          <w:color w:val="070707"/>
          <w:spacing w:val="0"/>
          <w:sz w:val="21"/>
          <w:szCs w:val="21"/>
        </w:rPr>
        <w:t>.提升工业互联网安全服务水平。鼓励和支持专业机构、网络安全企业等提供安全诊断评估、安全咨询、数据保护、代码检查、系统加固、云端防护等服务。鼓励基础电信企业、互联网企业、系统解决方案提供商等依托专业技术优势，加强与工业互联网企业的需求对接，输出安全保障服务。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b/>
          <w:bCs/>
          <w:i w:val="0"/>
          <w:sz w:val="21"/>
          <w:szCs w:val="21"/>
        </w:rPr>
      </w:pPr>
      <w:r>
        <w:rPr>
          <w:rFonts w:hint="eastAsia" w:ascii="宋体" w:hAnsi="宋体" w:eastAsia="宋体" w:cs="宋体"/>
          <w:b/>
          <w:bCs/>
          <w:i w:val="0"/>
          <w:caps w:val="0"/>
          <w:color w:val="070707"/>
          <w:spacing w:val="0"/>
          <w:sz w:val="21"/>
          <w:szCs w:val="21"/>
        </w:rPr>
        <w:t>（七）推动工业互联网安全科技创新与产业发展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sz w:val="21"/>
          <w:szCs w:val="21"/>
        </w:rPr>
      </w:pPr>
      <w:r>
        <w:rPr>
          <w:rFonts w:hint="default" w:ascii="Times New Roman" w:hAnsi="Times New Roman" w:eastAsia="宋体" w:cs="Times New Roman"/>
          <w:i w:val="0"/>
          <w:caps w:val="0"/>
          <w:color w:val="070707"/>
          <w:spacing w:val="0"/>
          <w:sz w:val="21"/>
          <w:szCs w:val="21"/>
        </w:rPr>
        <w:t>16</w:t>
      </w:r>
      <w:r>
        <w:rPr>
          <w:rFonts w:hint="eastAsia" w:ascii="宋体" w:hAnsi="宋体" w:eastAsia="宋体" w:cs="宋体"/>
          <w:i w:val="0"/>
          <w:caps w:val="0"/>
          <w:color w:val="070707"/>
          <w:spacing w:val="0"/>
          <w:sz w:val="21"/>
          <w:szCs w:val="21"/>
        </w:rPr>
        <w:t>.支持工业互联网安全科技创新。加大对工业互联网安全技术研发和成果转化的支持力度，强化标识解析系统安全、平台安全、工业控制系统安全、数据安全、</w:t>
      </w:r>
      <w:r>
        <w:rPr>
          <w:rFonts w:hint="default" w:ascii="Times New Roman" w:hAnsi="Times New Roman" w:eastAsia="宋体" w:cs="Times New Roman"/>
          <w:i w:val="0"/>
          <w:caps w:val="0"/>
          <w:color w:val="070707"/>
          <w:spacing w:val="0"/>
          <w:sz w:val="21"/>
          <w:szCs w:val="21"/>
        </w:rPr>
        <w:t>5</w:t>
      </w:r>
      <w:r>
        <w:rPr>
          <w:rFonts w:hint="eastAsia" w:ascii="宋体" w:hAnsi="宋体" w:eastAsia="宋体" w:cs="宋体"/>
          <w:i w:val="0"/>
          <w:caps w:val="0"/>
          <w:color w:val="070707"/>
          <w:spacing w:val="0"/>
          <w:sz w:val="21"/>
          <w:szCs w:val="21"/>
        </w:rPr>
        <w:t>G安全等相关核心技术研究，加强攻击防护、漏洞挖掘、态势感知等安全产品研发。支持通过众测众研等创新方式，聚集社会力量，提升漏洞隐患发现技术能力。支持专业机构、高校、企业等联合建设工业互联网安全创新中心和安全实验室。探索利用人工智能、大数据、区块链等新技术提升安全防护水平。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黑体" w:hAnsi="黑体" w:eastAsia="黑体" w:cs="黑体"/>
          <w:i w:val="0"/>
          <w:sz w:val="21"/>
          <w:szCs w:val="21"/>
        </w:rPr>
      </w:pPr>
      <w:r>
        <w:rPr>
          <w:rFonts w:hint="default" w:ascii="Times New Roman" w:hAnsi="Times New Roman" w:eastAsia="宋体" w:cs="Times New Roman"/>
          <w:i w:val="0"/>
          <w:caps w:val="0"/>
          <w:color w:val="070707"/>
          <w:spacing w:val="0"/>
          <w:sz w:val="21"/>
          <w:szCs w:val="21"/>
        </w:rPr>
        <w:t>17</w:t>
      </w:r>
      <w:r>
        <w:rPr>
          <w:rFonts w:hint="eastAsia" w:ascii="宋体" w:hAnsi="宋体" w:eastAsia="宋体" w:cs="宋体"/>
          <w:i w:val="0"/>
          <w:caps w:val="0"/>
          <w:color w:val="070707"/>
          <w:spacing w:val="0"/>
          <w:sz w:val="21"/>
          <w:szCs w:val="21"/>
        </w:rPr>
        <w:t>.促进工业互联网安全产业发展。充分利用国家和地方网络安全产业园（基地）等形式，整合相关行业资源，打造产学研用协同创新发展平台，形成工业互联网安全对外展示和市场服务能力，培育一批核心技术水平高、市场竞争能力强、辐射带动范围广的工业互联网安全企业。在汽车、电子信息、航空航天、能源等重点领域开展试点示范，遴选优秀安全解决方案和最佳实践，并加强应用推广。    </w:t>
      </w:r>
      <w:r>
        <w:rPr>
          <w:rFonts w:hint="eastAsia" w:ascii="宋体" w:hAnsi="宋体" w:eastAsia="宋体" w:cs="宋体"/>
          <w:i w:val="0"/>
          <w:caps w:val="0"/>
          <w:color w:val="070707"/>
          <w:spacing w:val="0"/>
          <w:sz w:val="21"/>
          <w:szCs w:val="21"/>
        </w:rPr>
        <w:br w:type="textWrapping"/>
      </w:r>
      <w:r>
        <w:rPr>
          <w:rFonts w:hint="eastAsia" w:ascii="黑体" w:hAnsi="黑体" w:eastAsia="黑体" w:cs="黑体"/>
          <w:i w:val="0"/>
          <w:caps w:val="0"/>
          <w:color w:val="070707"/>
          <w:spacing w:val="0"/>
          <w:sz w:val="21"/>
          <w:szCs w:val="21"/>
        </w:rPr>
        <w:t>　　三、保障措施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sz w:val="21"/>
          <w:szCs w:val="21"/>
        </w:rPr>
      </w:pPr>
      <w:r>
        <w:rPr>
          <w:rFonts w:hint="eastAsia" w:ascii="宋体" w:hAnsi="宋体" w:eastAsia="宋体" w:cs="宋体"/>
          <w:i w:val="0"/>
          <w:caps w:val="0"/>
          <w:color w:val="070707"/>
          <w:spacing w:val="0"/>
          <w:sz w:val="21"/>
          <w:szCs w:val="21"/>
        </w:rPr>
        <w:t>（一）加强组织领导，健全工作机制。在工业互联网专项工作组的统一指导下，加强统筹协调，强化部门协同、部省合作，构建各负其责、紧密配合、运转高效的工作机制。各地工业和信息化、教育、人力资源社会保障、生态环境、卫生健康、应急管理、国有资产监管、市场监管、能源、国防科技工业等主管部门及地方通信管理局要加强配合，形成合力。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sz w:val="21"/>
          <w:szCs w:val="21"/>
        </w:rPr>
      </w:pPr>
      <w:r>
        <w:rPr>
          <w:rFonts w:hint="eastAsia" w:ascii="宋体" w:hAnsi="宋体" w:eastAsia="宋体" w:cs="宋体"/>
          <w:i w:val="0"/>
          <w:caps w:val="0"/>
          <w:color w:val="070707"/>
          <w:spacing w:val="0"/>
          <w:sz w:val="21"/>
          <w:szCs w:val="21"/>
        </w:rPr>
        <w:t>（二）加大支持力度，优化创新环境。各地相关部门要结合本地工业互联网发展现状，优化政府支持机制和方式，加大对工业互联网安全的支持力度，鼓励企业技术创新和安全应用，加快建设工业互联网安全技术手段，推动安全产业集聚发展。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sz w:val="21"/>
          <w:szCs w:val="21"/>
        </w:rPr>
      </w:pPr>
      <w:r>
        <w:rPr>
          <w:rFonts w:hint="eastAsia" w:ascii="宋体" w:hAnsi="宋体" w:eastAsia="宋体" w:cs="宋体"/>
          <w:i w:val="0"/>
          <w:caps w:val="0"/>
          <w:color w:val="070707"/>
          <w:spacing w:val="0"/>
          <w:sz w:val="21"/>
          <w:szCs w:val="21"/>
        </w:rPr>
        <w:t>（三）发挥市场作用，汇聚多方力量。充分发挥市场在资源配置中的决定性作用，以工业互联网企业的安全需求为着力点，形成市场需求牵引、政府支持推动的发展局面。汇聚政产学研用多方力量，逐步建立覆盖决策研究、公共研发、标准推进、联盟论坛、人才培养等的创新支撑平台，形成支持工业互联网安全发展合力。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sz w:val="21"/>
          <w:szCs w:val="21"/>
        </w:rPr>
      </w:pPr>
      <w:r>
        <w:rPr>
          <w:rFonts w:hint="eastAsia" w:ascii="宋体" w:hAnsi="宋体" w:eastAsia="宋体" w:cs="宋体"/>
          <w:i w:val="0"/>
          <w:caps w:val="0"/>
          <w:color w:val="070707"/>
          <w:spacing w:val="0"/>
          <w:sz w:val="21"/>
          <w:szCs w:val="21"/>
        </w:rPr>
        <w:t>（四）加强宣传教育，加快人才培养。深入推进产教融合、校企合作，建立安全人才联合培养机制，培养复合型、创新型高技能人才。开展工业互联网安全宣传教育，提升企业和相关从业人员网络安全意识。开展网络安全演练、安全竞赛等，培养选拔不同层次的工业互联网安全从业人员。依托国家专业机构等，打造技术领先、业界知名的工业互联网安全高端智库。</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27" w:firstLineChars="175"/>
        <w:jc w:val="center"/>
        <w:textAlignment w:val="auto"/>
        <w:outlineLvl w:val="1"/>
        <w:rPr>
          <w:rFonts w:hint="eastAsia"/>
          <w:b/>
          <w:bCs/>
          <w:i w:val="0"/>
          <w:caps w:val="0"/>
          <w:color w:val="333333"/>
          <w:spacing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527" w:firstLineChars="175"/>
        <w:jc w:val="center"/>
        <w:textAlignment w:val="auto"/>
        <w:outlineLvl w:val="1"/>
        <w:rPr>
          <w:rFonts w:hint="eastAsia"/>
          <w:b/>
          <w:bCs/>
          <w:i w:val="0"/>
          <w:caps w:val="0"/>
          <w:color w:val="333333"/>
          <w:spacing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527" w:firstLineChars="175"/>
        <w:jc w:val="center"/>
        <w:textAlignment w:val="auto"/>
        <w:outlineLvl w:val="1"/>
        <w:rPr>
          <w:rFonts w:hint="eastAsia"/>
          <w:b/>
          <w:bCs/>
          <w:i w:val="0"/>
          <w:caps w:val="0"/>
          <w:color w:val="333333"/>
          <w:spacing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527" w:firstLineChars="175"/>
        <w:jc w:val="center"/>
        <w:textAlignment w:val="auto"/>
        <w:outlineLvl w:val="1"/>
        <w:rPr>
          <w:rFonts w:hint="eastAsia"/>
          <w:b/>
          <w:bCs/>
          <w:i w:val="0"/>
          <w:caps w:val="0"/>
          <w:color w:val="333333"/>
          <w:spacing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527" w:firstLineChars="175"/>
        <w:jc w:val="center"/>
        <w:textAlignment w:val="auto"/>
        <w:outlineLvl w:val="1"/>
        <w:rPr>
          <w:rFonts w:hint="eastAsia"/>
          <w:b/>
          <w:bCs/>
          <w:i w:val="0"/>
          <w:caps w:val="0"/>
          <w:color w:val="333333"/>
          <w:spacing w:val="0"/>
          <w:sz w:val="30"/>
          <w:szCs w:val="30"/>
          <w:lang w:val="en-US" w:eastAsia="zh-CN"/>
        </w:rPr>
      </w:pPr>
      <w:bookmarkStart w:id="181" w:name="_Toc6733"/>
      <w:r>
        <w:rPr>
          <w:rFonts w:hint="eastAsia"/>
          <w:b/>
          <w:bCs/>
          <w:i w:val="0"/>
          <w:caps w:val="0"/>
          <w:color w:val="333333"/>
          <w:spacing w:val="0"/>
          <w:sz w:val="30"/>
          <w:szCs w:val="30"/>
          <w:lang w:val="en-US" w:eastAsia="zh-CN"/>
        </w:rPr>
        <w:t>国家发展改革委关于进一步降低中国人民银行征信中心服务收费标准的通知</w:t>
      </w:r>
      <w:bookmarkEnd w:id="181"/>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center"/>
        <w:textAlignment w:val="auto"/>
        <w:outlineLvl w:val="1"/>
        <w:rPr>
          <w:rFonts w:hint="eastAsia" w:ascii="楷体" w:hAnsi="楷体" w:eastAsia="楷体" w:cs="楷体"/>
          <w:i w:val="0"/>
          <w:caps w:val="0"/>
          <w:color w:val="333333"/>
          <w:spacing w:val="0"/>
          <w:sz w:val="24"/>
          <w:szCs w:val="24"/>
          <w:lang w:val="en-US" w:eastAsia="zh-CN"/>
        </w:rPr>
      </w:pPr>
      <w:bookmarkStart w:id="182" w:name="_Toc8903"/>
      <w:r>
        <w:rPr>
          <w:rFonts w:hint="eastAsia" w:ascii="楷体" w:hAnsi="楷体" w:eastAsia="楷体" w:cs="楷体"/>
          <w:i w:val="0"/>
          <w:caps w:val="0"/>
          <w:color w:val="333333"/>
          <w:spacing w:val="0"/>
          <w:sz w:val="24"/>
          <w:szCs w:val="24"/>
          <w:lang w:val="en-US" w:eastAsia="zh-CN"/>
        </w:rPr>
        <w:t>发改价格规〔2019〕1318号</w:t>
      </w:r>
      <w:bookmarkEnd w:id="182"/>
    </w:p>
    <w:p>
      <w:pPr>
        <w:keepNext w:val="0"/>
        <w:keepLines w:val="0"/>
        <w:pageBreakBefore w:val="0"/>
        <w:widowControl w:val="0"/>
        <w:kinsoku/>
        <w:wordWrap/>
        <w:overflowPunct/>
        <w:topLinePunct w:val="0"/>
        <w:autoSpaceDE/>
        <w:autoSpaceDN/>
        <w:bidi w:val="0"/>
        <w:adjustRightInd/>
        <w:snapToGrid/>
        <w:spacing w:line="360" w:lineRule="auto"/>
        <w:ind w:left="0" w:leftChars="0" w:firstLine="367" w:firstLineChars="175"/>
        <w:jc w:val="left"/>
        <w:textAlignment w:val="auto"/>
        <w:outlineLvl w:val="1"/>
        <w:rPr>
          <w:rFonts w:hint="eastAsia"/>
          <w:i w:val="0"/>
          <w:caps w:val="0"/>
          <w:color w:val="333333"/>
          <w:spacing w:val="0"/>
          <w:sz w:val="21"/>
          <w:szCs w:val="21"/>
          <w:lang w:val="en-US" w:eastAsia="zh-CN"/>
        </w:rPr>
      </w:pPr>
      <w:bookmarkStart w:id="183" w:name="_Toc24725"/>
      <w:bookmarkStart w:id="184" w:name="_Toc17667"/>
      <w:bookmarkStart w:id="185" w:name="_Toc13999"/>
      <w:bookmarkStart w:id="186" w:name="_Toc31197"/>
      <w:r>
        <w:rPr>
          <w:rFonts w:hint="eastAsia"/>
          <w:i w:val="0"/>
          <w:caps w:val="0"/>
          <w:color w:val="333333"/>
          <w:spacing w:val="0"/>
          <w:sz w:val="21"/>
          <w:szCs w:val="21"/>
          <w:lang w:val="en-US" w:eastAsia="zh-CN"/>
        </w:rPr>
        <w:t> </w:t>
      </w:r>
      <w:bookmarkEnd w:id="183"/>
      <w:bookmarkEnd w:id="184"/>
      <w:bookmarkEnd w:id="185"/>
      <w:bookmarkEnd w:id="186"/>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i w:val="0"/>
          <w:caps w:val="0"/>
          <w:color w:val="333333"/>
          <w:spacing w:val="0"/>
          <w:sz w:val="21"/>
          <w:szCs w:val="21"/>
          <w:lang w:val="en-US" w:eastAsia="zh-CN"/>
        </w:rPr>
      </w:pPr>
      <w:bookmarkStart w:id="187" w:name="_Toc11941"/>
      <w:r>
        <w:rPr>
          <w:rFonts w:hint="eastAsia"/>
          <w:i w:val="0"/>
          <w:caps w:val="0"/>
          <w:color w:val="333333"/>
          <w:spacing w:val="0"/>
          <w:sz w:val="21"/>
          <w:szCs w:val="21"/>
          <w:lang w:val="en-US" w:eastAsia="zh-CN"/>
        </w:rPr>
        <w:t>中国人民银行：</w:t>
      </w:r>
      <w:bookmarkEnd w:id="187"/>
    </w:p>
    <w:p>
      <w:pPr>
        <w:keepNext w:val="0"/>
        <w:keepLines w:val="0"/>
        <w:pageBreakBefore w:val="0"/>
        <w:widowControl w:val="0"/>
        <w:kinsoku/>
        <w:wordWrap/>
        <w:overflowPunct/>
        <w:topLinePunct w:val="0"/>
        <w:autoSpaceDE/>
        <w:autoSpaceDN/>
        <w:bidi w:val="0"/>
        <w:adjustRightInd/>
        <w:snapToGrid/>
        <w:spacing w:line="360" w:lineRule="auto"/>
        <w:ind w:left="0" w:leftChars="0" w:firstLine="367" w:firstLineChars="175"/>
        <w:jc w:val="left"/>
        <w:textAlignment w:val="auto"/>
        <w:outlineLvl w:val="9"/>
        <w:rPr>
          <w:rFonts w:hint="eastAsia"/>
          <w:i w:val="0"/>
          <w:caps w:val="0"/>
          <w:color w:val="333333"/>
          <w:spacing w:val="0"/>
          <w:sz w:val="21"/>
          <w:szCs w:val="21"/>
          <w:lang w:val="en-US" w:eastAsia="zh-CN"/>
        </w:rPr>
      </w:pPr>
      <w:bookmarkStart w:id="188" w:name="_Toc28075"/>
      <w:r>
        <w:rPr>
          <w:rFonts w:hint="eastAsia"/>
          <w:i w:val="0"/>
          <w:caps w:val="0"/>
          <w:color w:val="333333"/>
          <w:spacing w:val="0"/>
          <w:sz w:val="21"/>
          <w:szCs w:val="21"/>
          <w:lang w:val="en-US" w:eastAsia="zh-CN"/>
        </w:rPr>
        <w:t>为贯彻落实党中央、国务院决策部署，进一步减轻企业负担，优化实体经济发展环境，促进实体经济发展和社会信用体系建设，依据《征信业管理条例》有关规定，现就你行征信中心服务收费标准有关事项通知如下：</w:t>
      </w:r>
      <w:bookmarkEnd w:id="188"/>
    </w:p>
    <w:p>
      <w:pPr>
        <w:keepNext w:val="0"/>
        <w:keepLines w:val="0"/>
        <w:pageBreakBefore w:val="0"/>
        <w:widowControl w:val="0"/>
        <w:kinsoku/>
        <w:wordWrap/>
        <w:overflowPunct/>
        <w:topLinePunct w:val="0"/>
        <w:autoSpaceDE/>
        <w:autoSpaceDN/>
        <w:bidi w:val="0"/>
        <w:adjustRightInd/>
        <w:snapToGrid/>
        <w:spacing w:line="360" w:lineRule="auto"/>
        <w:ind w:left="0" w:leftChars="0" w:firstLine="367" w:firstLineChars="175"/>
        <w:jc w:val="left"/>
        <w:textAlignment w:val="auto"/>
        <w:outlineLvl w:val="9"/>
        <w:rPr>
          <w:rFonts w:hint="eastAsia"/>
          <w:i w:val="0"/>
          <w:caps w:val="0"/>
          <w:color w:val="333333"/>
          <w:spacing w:val="0"/>
          <w:sz w:val="21"/>
          <w:szCs w:val="21"/>
          <w:lang w:val="en-US" w:eastAsia="zh-CN"/>
        </w:rPr>
      </w:pPr>
      <w:bookmarkStart w:id="189" w:name="_Toc28715"/>
      <w:r>
        <w:rPr>
          <w:rFonts w:hint="eastAsia"/>
          <w:i w:val="0"/>
          <w:caps w:val="0"/>
          <w:color w:val="333333"/>
          <w:spacing w:val="0"/>
          <w:sz w:val="21"/>
          <w:szCs w:val="21"/>
          <w:lang w:val="en-US" w:eastAsia="zh-CN"/>
        </w:rPr>
        <w:t>一、商业银行等机构查询企业信用报告基准服务费标准由每份40元降低至20元，查询个人信用报告基准服务费标准由每份4元降低至2元，实际收费标准根据用户机构向征信系统提供的数据量和查询量计算确定，数据查询量适用超额累退计算方法，具体计算公式和计费办法详见附件。</w:t>
      </w:r>
      <w:bookmarkEnd w:id="189"/>
    </w:p>
    <w:p>
      <w:pPr>
        <w:keepNext w:val="0"/>
        <w:keepLines w:val="0"/>
        <w:pageBreakBefore w:val="0"/>
        <w:widowControl w:val="0"/>
        <w:kinsoku/>
        <w:wordWrap/>
        <w:overflowPunct/>
        <w:topLinePunct w:val="0"/>
        <w:autoSpaceDE/>
        <w:autoSpaceDN/>
        <w:bidi w:val="0"/>
        <w:adjustRightInd/>
        <w:snapToGrid/>
        <w:spacing w:line="360" w:lineRule="auto"/>
        <w:ind w:left="0" w:leftChars="0" w:firstLine="367" w:firstLineChars="175"/>
        <w:jc w:val="left"/>
        <w:textAlignment w:val="auto"/>
        <w:outlineLvl w:val="9"/>
        <w:rPr>
          <w:rFonts w:hint="eastAsia"/>
          <w:i w:val="0"/>
          <w:caps w:val="0"/>
          <w:color w:val="333333"/>
          <w:spacing w:val="0"/>
          <w:sz w:val="21"/>
          <w:szCs w:val="21"/>
          <w:lang w:val="en-US" w:eastAsia="zh-CN"/>
        </w:rPr>
      </w:pPr>
      <w:bookmarkStart w:id="190" w:name="_Toc14440"/>
      <w:r>
        <w:rPr>
          <w:rFonts w:hint="eastAsia"/>
          <w:i w:val="0"/>
          <w:caps w:val="0"/>
          <w:color w:val="333333"/>
          <w:spacing w:val="0"/>
          <w:sz w:val="21"/>
          <w:szCs w:val="21"/>
          <w:lang w:val="en-US" w:eastAsia="zh-CN"/>
        </w:rPr>
        <w:t>农村商业银行、农村合作银行、农村信用社、村镇银行、小额贷款公司、消费金融公司、融资租赁公司、融资性担保公司、民营银行、独立法人直销银行等10类金融机构查询企业和个人信用报告实行优惠收费标准。上述享受优惠政策的机构查询企业信用报告收费标准由每份15元降低至10元，查询个人信用报告收费标准继续维持每份1元。</w:t>
      </w:r>
      <w:bookmarkEnd w:id="190"/>
    </w:p>
    <w:p>
      <w:pPr>
        <w:keepNext w:val="0"/>
        <w:keepLines w:val="0"/>
        <w:pageBreakBefore w:val="0"/>
        <w:widowControl w:val="0"/>
        <w:kinsoku/>
        <w:wordWrap/>
        <w:overflowPunct/>
        <w:topLinePunct w:val="0"/>
        <w:autoSpaceDE/>
        <w:autoSpaceDN/>
        <w:bidi w:val="0"/>
        <w:adjustRightInd/>
        <w:snapToGrid/>
        <w:spacing w:line="360" w:lineRule="auto"/>
        <w:ind w:left="0" w:leftChars="0" w:firstLine="367" w:firstLineChars="175"/>
        <w:jc w:val="left"/>
        <w:textAlignment w:val="auto"/>
        <w:outlineLvl w:val="9"/>
        <w:rPr>
          <w:rFonts w:hint="eastAsia"/>
          <w:i w:val="0"/>
          <w:caps w:val="0"/>
          <w:color w:val="333333"/>
          <w:spacing w:val="0"/>
          <w:sz w:val="21"/>
          <w:szCs w:val="21"/>
          <w:lang w:val="en-US" w:eastAsia="zh-CN"/>
        </w:rPr>
      </w:pPr>
      <w:bookmarkStart w:id="191" w:name="_Toc1320"/>
      <w:r>
        <w:rPr>
          <w:rFonts w:hint="eastAsia"/>
          <w:i w:val="0"/>
          <w:caps w:val="0"/>
          <w:color w:val="333333"/>
          <w:spacing w:val="0"/>
          <w:sz w:val="21"/>
          <w:szCs w:val="21"/>
          <w:lang w:val="en-US" w:eastAsia="zh-CN"/>
        </w:rPr>
        <w:t>上述各类机构中，同一用户30天内多次查询同一企业信用报告的，按查询一份企业信用报告计费；1天内多次查询同一个人信用报告的，按查询一次个人信用报告计费。</w:t>
      </w:r>
      <w:bookmarkEnd w:id="191"/>
    </w:p>
    <w:p>
      <w:pPr>
        <w:keepNext w:val="0"/>
        <w:keepLines w:val="0"/>
        <w:pageBreakBefore w:val="0"/>
        <w:widowControl w:val="0"/>
        <w:kinsoku/>
        <w:wordWrap/>
        <w:overflowPunct/>
        <w:topLinePunct w:val="0"/>
        <w:autoSpaceDE/>
        <w:autoSpaceDN/>
        <w:bidi w:val="0"/>
        <w:adjustRightInd/>
        <w:snapToGrid/>
        <w:spacing w:line="360" w:lineRule="auto"/>
        <w:ind w:left="0" w:leftChars="0" w:firstLine="367" w:firstLineChars="175"/>
        <w:jc w:val="left"/>
        <w:textAlignment w:val="auto"/>
        <w:outlineLvl w:val="9"/>
        <w:rPr>
          <w:rFonts w:hint="eastAsia"/>
          <w:i w:val="0"/>
          <w:caps w:val="0"/>
          <w:color w:val="333333"/>
          <w:spacing w:val="0"/>
          <w:sz w:val="21"/>
          <w:szCs w:val="21"/>
          <w:lang w:val="en-US" w:eastAsia="zh-CN"/>
        </w:rPr>
      </w:pPr>
      <w:bookmarkStart w:id="192" w:name="_Toc12400"/>
      <w:r>
        <w:rPr>
          <w:rFonts w:hint="eastAsia"/>
          <w:i w:val="0"/>
          <w:caps w:val="0"/>
          <w:color w:val="333333"/>
          <w:spacing w:val="0"/>
          <w:sz w:val="21"/>
          <w:szCs w:val="21"/>
          <w:lang w:val="en-US" w:eastAsia="zh-CN"/>
        </w:rPr>
        <w:t>二、个人柜台查询自身信用报告，每年前2次免费，自第3次起每次收费10元，不得另行收取纸张费、打印费等其它费用。个人通过互联网查询自身信用报告免费。各地征信查询网点应在显著位置公示个人查询自身信用报告收费标准和有关规定。对每年3次及以上的查询，应提前告知查询人收费事项，征得查询人同意后提供查询服务。征信中心应创造条件进一步增加个人柜台查询自身信用报告免费次数。</w:t>
      </w:r>
      <w:bookmarkEnd w:id="192"/>
    </w:p>
    <w:p>
      <w:pPr>
        <w:keepNext w:val="0"/>
        <w:keepLines w:val="0"/>
        <w:pageBreakBefore w:val="0"/>
        <w:widowControl w:val="0"/>
        <w:kinsoku/>
        <w:wordWrap/>
        <w:overflowPunct/>
        <w:topLinePunct w:val="0"/>
        <w:autoSpaceDE/>
        <w:autoSpaceDN/>
        <w:bidi w:val="0"/>
        <w:adjustRightInd/>
        <w:snapToGrid/>
        <w:spacing w:line="360" w:lineRule="auto"/>
        <w:ind w:left="0" w:leftChars="0" w:firstLine="367" w:firstLineChars="175"/>
        <w:jc w:val="left"/>
        <w:textAlignment w:val="auto"/>
        <w:outlineLvl w:val="9"/>
        <w:rPr>
          <w:rFonts w:hint="eastAsia"/>
          <w:i w:val="0"/>
          <w:caps w:val="0"/>
          <w:color w:val="333333"/>
          <w:spacing w:val="0"/>
          <w:sz w:val="21"/>
          <w:szCs w:val="21"/>
          <w:lang w:val="en-US" w:eastAsia="zh-CN"/>
        </w:rPr>
      </w:pPr>
      <w:bookmarkStart w:id="193" w:name="_Toc13358"/>
      <w:r>
        <w:rPr>
          <w:rFonts w:hint="eastAsia"/>
          <w:i w:val="0"/>
          <w:caps w:val="0"/>
          <w:color w:val="333333"/>
          <w:spacing w:val="0"/>
          <w:sz w:val="21"/>
          <w:szCs w:val="21"/>
          <w:lang w:val="en-US" w:eastAsia="zh-CN"/>
        </w:rPr>
        <w:t>三、应收账款质押登记收费标准由每件每年60元降低至30元，变更登记、异议登记收费标准由每件每次20元降低至10元，查询登记信息免费。</w:t>
      </w:r>
      <w:bookmarkEnd w:id="193"/>
    </w:p>
    <w:p>
      <w:pPr>
        <w:keepNext w:val="0"/>
        <w:keepLines w:val="0"/>
        <w:pageBreakBefore w:val="0"/>
        <w:widowControl w:val="0"/>
        <w:kinsoku/>
        <w:wordWrap/>
        <w:overflowPunct/>
        <w:topLinePunct w:val="0"/>
        <w:autoSpaceDE/>
        <w:autoSpaceDN/>
        <w:bidi w:val="0"/>
        <w:adjustRightInd/>
        <w:snapToGrid/>
        <w:spacing w:line="360" w:lineRule="auto"/>
        <w:ind w:left="0" w:leftChars="0" w:firstLine="367" w:firstLineChars="175"/>
        <w:jc w:val="left"/>
        <w:textAlignment w:val="auto"/>
        <w:outlineLvl w:val="9"/>
        <w:rPr>
          <w:rFonts w:hint="eastAsia"/>
          <w:i w:val="0"/>
          <w:caps w:val="0"/>
          <w:color w:val="333333"/>
          <w:spacing w:val="0"/>
          <w:sz w:val="21"/>
          <w:szCs w:val="21"/>
          <w:lang w:val="en-US" w:eastAsia="zh-CN"/>
        </w:rPr>
      </w:pPr>
      <w:bookmarkStart w:id="194" w:name="_Toc10659"/>
      <w:r>
        <w:rPr>
          <w:rFonts w:hint="eastAsia"/>
          <w:i w:val="0"/>
          <w:caps w:val="0"/>
          <w:color w:val="333333"/>
          <w:spacing w:val="0"/>
          <w:sz w:val="21"/>
          <w:szCs w:val="21"/>
          <w:lang w:val="en-US" w:eastAsia="zh-CN"/>
        </w:rPr>
        <w:t>四、征信中心应严格执行国家规定的收费标准，每年4月底前将上年度经审计的财务报告、收支情况、业务量变化情况以及收费标准执行情况报国家发展改革委（价格司）。国家发展改革委将按照“补偿成本、收支平衡”的原则，综合考虑征信业务增长、服务成本变化等因素，适时对征信中心服务收费标准进行调整。</w:t>
      </w:r>
      <w:bookmarkEnd w:id="194"/>
    </w:p>
    <w:p>
      <w:pPr>
        <w:keepNext w:val="0"/>
        <w:keepLines w:val="0"/>
        <w:pageBreakBefore w:val="0"/>
        <w:widowControl w:val="0"/>
        <w:kinsoku/>
        <w:wordWrap/>
        <w:overflowPunct/>
        <w:topLinePunct w:val="0"/>
        <w:autoSpaceDE/>
        <w:autoSpaceDN/>
        <w:bidi w:val="0"/>
        <w:adjustRightInd/>
        <w:snapToGrid/>
        <w:spacing w:line="360" w:lineRule="auto"/>
        <w:ind w:left="0" w:leftChars="0" w:firstLine="367" w:firstLineChars="175"/>
        <w:jc w:val="left"/>
        <w:textAlignment w:val="auto"/>
        <w:outlineLvl w:val="9"/>
        <w:rPr>
          <w:rFonts w:hint="eastAsia"/>
          <w:i w:val="0"/>
          <w:caps w:val="0"/>
          <w:color w:val="333333"/>
          <w:spacing w:val="0"/>
          <w:sz w:val="21"/>
          <w:szCs w:val="21"/>
          <w:lang w:val="en-US" w:eastAsia="zh-CN"/>
        </w:rPr>
      </w:pPr>
      <w:bookmarkStart w:id="195" w:name="_Toc21223"/>
      <w:r>
        <w:rPr>
          <w:rFonts w:hint="eastAsia"/>
          <w:i w:val="0"/>
          <w:caps w:val="0"/>
          <w:color w:val="333333"/>
          <w:spacing w:val="0"/>
          <w:sz w:val="21"/>
          <w:szCs w:val="21"/>
          <w:lang w:val="en-US" w:eastAsia="zh-CN"/>
        </w:rPr>
        <w:t>五、各商业银行、小微金融机构等征信系统用户，不得违反规定自定收费项目，将征信查询费转嫁给被查询对象，增加被查询对象负担，也不得要求被查询对象自行提供其信用报告。要采取措施促进小额贷款公司、消费金融公司等小微金融机构接入征信系统。</w:t>
      </w:r>
      <w:bookmarkEnd w:id="195"/>
    </w:p>
    <w:p>
      <w:pPr>
        <w:keepNext w:val="0"/>
        <w:keepLines w:val="0"/>
        <w:pageBreakBefore w:val="0"/>
        <w:widowControl w:val="0"/>
        <w:kinsoku/>
        <w:wordWrap/>
        <w:overflowPunct/>
        <w:topLinePunct w:val="0"/>
        <w:autoSpaceDE/>
        <w:autoSpaceDN/>
        <w:bidi w:val="0"/>
        <w:adjustRightInd/>
        <w:snapToGrid/>
        <w:spacing w:line="360" w:lineRule="auto"/>
        <w:ind w:left="0" w:leftChars="0" w:firstLine="367" w:firstLineChars="175"/>
        <w:jc w:val="left"/>
        <w:textAlignment w:val="auto"/>
        <w:outlineLvl w:val="9"/>
        <w:rPr>
          <w:rFonts w:hint="eastAsia"/>
          <w:i w:val="0"/>
          <w:caps w:val="0"/>
          <w:color w:val="333333"/>
          <w:spacing w:val="0"/>
          <w:sz w:val="21"/>
          <w:szCs w:val="21"/>
          <w:lang w:val="en-US" w:eastAsia="zh-CN"/>
        </w:rPr>
      </w:pPr>
      <w:bookmarkStart w:id="196" w:name="_Toc22306"/>
      <w:r>
        <w:rPr>
          <w:rFonts w:hint="eastAsia"/>
          <w:i w:val="0"/>
          <w:caps w:val="0"/>
          <w:color w:val="333333"/>
          <w:spacing w:val="0"/>
          <w:sz w:val="21"/>
          <w:szCs w:val="21"/>
          <w:lang w:val="en-US" w:eastAsia="zh-CN"/>
        </w:rPr>
        <w:t>本通知自2019年8月1日起执行。此前凡是与本通知不符的规定，按照本通知规定执行。</w:t>
      </w:r>
      <w:bookmarkEnd w:id="196"/>
    </w:p>
    <w:p>
      <w:pPr>
        <w:keepNext w:val="0"/>
        <w:keepLines w:val="0"/>
        <w:pageBreakBefore w:val="0"/>
        <w:widowControl w:val="0"/>
        <w:kinsoku/>
        <w:wordWrap/>
        <w:overflowPunct/>
        <w:topLinePunct w:val="0"/>
        <w:autoSpaceDE/>
        <w:autoSpaceDN/>
        <w:bidi w:val="0"/>
        <w:adjustRightInd/>
        <w:snapToGrid/>
        <w:spacing w:line="360" w:lineRule="auto"/>
        <w:ind w:left="0" w:leftChars="0" w:firstLine="367" w:firstLineChars="175"/>
        <w:jc w:val="left"/>
        <w:textAlignment w:val="auto"/>
        <w:outlineLvl w:val="9"/>
        <w:rPr>
          <w:rFonts w:hint="eastAsia"/>
          <w:i w:val="0"/>
          <w:caps w:val="0"/>
          <w:color w:val="333333"/>
          <w:spacing w:val="0"/>
          <w:sz w:val="21"/>
          <w:szCs w:val="21"/>
          <w:lang w:val="en-US" w:eastAsia="zh-CN"/>
        </w:rPr>
      </w:pPr>
      <w:bookmarkStart w:id="197" w:name="_Toc13191"/>
      <w:r>
        <w:rPr>
          <w:rFonts w:hint="eastAsia"/>
          <w:i w:val="0"/>
          <w:caps w:val="0"/>
          <w:color w:val="333333"/>
          <w:spacing w:val="0"/>
          <w:sz w:val="21"/>
          <w:szCs w:val="21"/>
          <w:lang w:val="en-US" w:eastAsia="zh-CN"/>
        </w:rPr>
        <w:t>附件：</w:t>
      </w:r>
      <w:r>
        <w:rPr>
          <w:rFonts w:hint="eastAsia"/>
          <w:i w:val="0"/>
          <w:caps w:val="0"/>
          <w:color w:val="333333"/>
          <w:spacing w:val="0"/>
          <w:sz w:val="21"/>
          <w:szCs w:val="21"/>
          <w:lang w:val="en-US" w:eastAsia="zh-CN"/>
        </w:rPr>
        <w:fldChar w:fldCharType="begin"/>
      </w:r>
      <w:r>
        <w:rPr>
          <w:rFonts w:hint="eastAsia"/>
          <w:i w:val="0"/>
          <w:caps w:val="0"/>
          <w:color w:val="333333"/>
          <w:spacing w:val="0"/>
          <w:sz w:val="21"/>
          <w:szCs w:val="21"/>
          <w:lang w:val="en-US" w:eastAsia="zh-CN"/>
        </w:rPr>
        <w:instrText xml:space="preserve"> HYPERLINK "http://www.ndrc.gov.cn/zwfwzx/zfdj/jggg/201908/W020190819345021097375.pdf" \t "http://www.ndrc.gov.cn/zwfwzx/zfdj/jggg/201908/_blank" </w:instrText>
      </w:r>
      <w:r>
        <w:rPr>
          <w:rFonts w:hint="eastAsia"/>
          <w:i w:val="0"/>
          <w:caps w:val="0"/>
          <w:color w:val="333333"/>
          <w:spacing w:val="0"/>
          <w:sz w:val="21"/>
          <w:szCs w:val="21"/>
          <w:lang w:val="en-US" w:eastAsia="zh-CN"/>
        </w:rPr>
        <w:fldChar w:fldCharType="separate"/>
      </w:r>
      <w:r>
        <w:rPr>
          <w:rFonts w:hint="eastAsia"/>
          <w:i w:val="0"/>
          <w:caps w:val="0"/>
          <w:color w:val="333333"/>
          <w:spacing w:val="0"/>
          <w:sz w:val="21"/>
          <w:szCs w:val="21"/>
          <w:lang w:val="en-US" w:eastAsia="zh-CN"/>
        </w:rPr>
        <w:t>商业银行等机构查询信用报告收费标准计算公式和计费办法</w:t>
      </w:r>
      <w:r>
        <w:rPr>
          <w:rFonts w:hint="eastAsia"/>
          <w:i w:val="0"/>
          <w:caps w:val="0"/>
          <w:color w:val="333333"/>
          <w:spacing w:val="0"/>
          <w:sz w:val="21"/>
          <w:szCs w:val="21"/>
          <w:lang w:val="en-US" w:eastAsia="zh-CN"/>
        </w:rPr>
        <w:fldChar w:fldCharType="end"/>
      </w:r>
      <w:bookmarkEnd w:id="197"/>
    </w:p>
    <w:p>
      <w:pPr>
        <w:keepNext w:val="0"/>
        <w:keepLines w:val="0"/>
        <w:pageBreakBefore w:val="0"/>
        <w:widowControl w:val="0"/>
        <w:kinsoku/>
        <w:wordWrap/>
        <w:overflowPunct/>
        <w:topLinePunct w:val="0"/>
        <w:autoSpaceDE/>
        <w:autoSpaceDN/>
        <w:bidi w:val="0"/>
        <w:adjustRightInd/>
        <w:snapToGrid/>
        <w:spacing w:line="360" w:lineRule="auto"/>
        <w:ind w:left="0" w:leftChars="0" w:firstLine="367" w:firstLineChars="175"/>
        <w:jc w:val="left"/>
        <w:textAlignment w:val="auto"/>
        <w:outlineLvl w:val="9"/>
        <w:rPr>
          <w:rFonts w:hint="eastAsia"/>
          <w:i w:val="0"/>
          <w:caps w:val="0"/>
          <w:color w:val="333333"/>
          <w:spacing w:val="0"/>
          <w:sz w:val="21"/>
          <w:szCs w:val="21"/>
          <w:lang w:val="en-US" w:eastAsia="zh-CN"/>
        </w:rPr>
      </w:pPr>
      <w:bookmarkStart w:id="198" w:name="_Toc26502"/>
      <w:r>
        <w:rPr>
          <w:rFonts w:hint="eastAsia"/>
          <w:i w:val="0"/>
          <w:caps w:val="0"/>
          <w:color w:val="333333"/>
          <w:spacing w:val="0"/>
          <w:sz w:val="21"/>
          <w:szCs w:val="21"/>
          <w:lang w:val="en-US" w:eastAsia="zh-CN"/>
        </w:rPr>
        <w:t> </w:t>
      </w:r>
      <w:bookmarkEnd w:id="198"/>
    </w:p>
    <w:p>
      <w:pPr>
        <w:keepNext w:val="0"/>
        <w:keepLines w:val="0"/>
        <w:pageBreakBefore w:val="0"/>
        <w:widowControl w:val="0"/>
        <w:kinsoku/>
        <w:wordWrap/>
        <w:overflowPunct/>
        <w:topLinePunct w:val="0"/>
        <w:autoSpaceDE/>
        <w:autoSpaceDN/>
        <w:bidi w:val="0"/>
        <w:adjustRightInd/>
        <w:snapToGrid/>
        <w:spacing w:line="360" w:lineRule="auto"/>
        <w:ind w:left="0" w:leftChars="0" w:firstLine="367" w:firstLineChars="175"/>
        <w:jc w:val="right"/>
        <w:textAlignment w:val="auto"/>
        <w:outlineLvl w:val="9"/>
        <w:rPr>
          <w:rFonts w:hint="eastAsia"/>
          <w:i w:val="0"/>
          <w:caps w:val="0"/>
          <w:color w:val="333333"/>
          <w:spacing w:val="0"/>
          <w:sz w:val="21"/>
          <w:szCs w:val="21"/>
          <w:lang w:val="en-US" w:eastAsia="zh-CN"/>
        </w:rPr>
      </w:pPr>
      <w:bookmarkStart w:id="199" w:name="_Toc8883"/>
      <w:r>
        <w:rPr>
          <w:rFonts w:hint="eastAsia"/>
          <w:i w:val="0"/>
          <w:caps w:val="0"/>
          <w:color w:val="333333"/>
          <w:spacing w:val="0"/>
          <w:sz w:val="21"/>
          <w:szCs w:val="21"/>
          <w:lang w:val="en-US" w:eastAsia="zh-CN"/>
        </w:rPr>
        <w:t>国家发展改革委</w:t>
      </w:r>
      <w:bookmarkEnd w:id="199"/>
    </w:p>
    <w:p>
      <w:pPr>
        <w:keepNext w:val="0"/>
        <w:keepLines w:val="0"/>
        <w:pageBreakBefore w:val="0"/>
        <w:widowControl w:val="0"/>
        <w:kinsoku/>
        <w:wordWrap/>
        <w:overflowPunct/>
        <w:topLinePunct w:val="0"/>
        <w:autoSpaceDE/>
        <w:autoSpaceDN/>
        <w:bidi w:val="0"/>
        <w:adjustRightInd/>
        <w:snapToGrid/>
        <w:spacing w:line="360" w:lineRule="auto"/>
        <w:ind w:left="0" w:leftChars="0" w:firstLine="367" w:firstLineChars="175"/>
        <w:jc w:val="right"/>
        <w:textAlignment w:val="auto"/>
        <w:outlineLvl w:val="9"/>
        <w:rPr>
          <w:rFonts w:hint="eastAsia"/>
          <w:i w:val="0"/>
          <w:caps w:val="0"/>
          <w:color w:val="333333"/>
          <w:spacing w:val="0"/>
          <w:sz w:val="21"/>
          <w:szCs w:val="21"/>
          <w:lang w:val="en-US" w:eastAsia="zh-CN"/>
        </w:rPr>
      </w:pPr>
      <w:bookmarkStart w:id="200" w:name="_Toc5025"/>
      <w:r>
        <w:rPr>
          <w:rFonts w:hint="eastAsia"/>
          <w:i w:val="0"/>
          <w:caps w:val="0"/>
          <w:color w:val="333333"/>
          <w:spacing w:val="0"/>
          <w:sz w:val="21"/>
          <w:szCs w:val="21"/>
          <w:lang w:val="en-US" w:eastAsia="zh-CN"/>
        </w:rPr>
        <w:t>2019年7月31日</w:t>
      </w:r>
      <w:bookmarkEnd w:id="200"/>
    </w:p>
    <w:p>
      <w:pPr>
        <w:keepNext w:val="0"/>
        <w:keepLines w:val="0"/>
        <w:pageBreakBefore w:val="0"/>
        <w:widowControl w:val="0"/>
        <w:kinsoku/>
        <w:wordWrap/>
        <w:overflowPunct/>
        <w:topLinePunct w:val="0"/>
        <w:autoSpaceDE/>
        <w:autoSpaceDN/>
        <w:bidi w:val="0"/>
        <w:adjustRightInd/>
        <w:snapToGrid/>
        <w:spacing w:line="360" w:lineRule="auto"/>
        <w:ind w:left="0" w:leftChars="0" w:firstLine="367" w:firstLineChars="175"/>
        <w:jc w:val="left"/>
        <w:textAlignment w:val="auto"/>
        <w:outlineLvl w:val="1"/>
        <w:rPr>
          <w:rFonts w:hint="default"/>
          <w:i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367" w:firstLineChars="175"/>
        <w:jc w:val="left"/>
        <w:textAlignment w:val="auto"/>
        <w:outlineLvl w:val="1"/>
        <w:rPr>
          <w:rFonts w:hint="default"/>
          <w:i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367" w:firstLineChars="175"/>
        <w:jc w:val="left"/>
        <w:textAlignment w:val="auto"/>
        <w:outlineLvl w:val="1"/>
        <w:rPr>
          <w:rFonts w:hint="default"/>
          <w:i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367" w:firstLineChars="175"/>
        <w:jc w:val="left"/>
        <w:textAlignment w:val="auto"/>
        <w:outlineLvl w:val="1"/>
        <w:rPr>
          <w:rFonts w:hint="default"/>
          <w:i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527" w:firstLineChars="175"/>
        <w:jc w:val="center"/>
        <w:textAlignment w:val="auto"/>
        <w:outlineLvl w:val="1"/>
        <w:rPr>
          <w:rFonts w:hint="eastAsia"/>
          <w:b/>
          <w:bCs/>
          <w:i w:val="0"/>
          <w:caps w:val="0"/>
          <w:color w:val="333333"/>
          <w:spacing w:val="0"/>
          <w:sz w:val="30"/>
          <w:szCs w:val="30"/>
          <w:lang w:val="en-US" w:eastAsia="zh-CN"/>
        </w:rPr>
      </w:pPr>
      <w:bookmarkStart w:id="201" w:name="_Toc23811"/>
      <w:bookmarkStart w:id="202" w:name="_Toc8617"/>
      <w:bookmarkStart w:id="203" w:name="_Toc6243"/>
      <w:bookmarkStart w:id="204" w:name="_Toc27775"/>
      <w:r>
        <w:rPr>
          <w:rFonts w:hint="eastAsia"/>
          <w:b/>
          <w:bCs/>
          <w:i w:val="0"/>
          <w:caps w:val="0"/>
          <w:color w:val="333333"/>
          <w:spacing w:val="0"/>
          <w:sz w:val="30"/>
          <w:szCs w:val="30"/>
          <w:lang w:val="en-US" w:eastAsia="zh-CN"/>
        </w:rPr>
        <w:t>市场监管总局 国家发展改革委 工业和信息化部</w:t>
      </w:r>
      <w:bookmarkEnd w:id="201"/>
      <w:bookmarkEnd w:id="202"/>
      <w:bookmarkEnd w:id="203"/>
      <w:bookmarkEnd w:id="204"/>
    </w:p>
    <w:p>
      <w:pPr>
        <w:keepNext w:val="0"/>
        <w:keepLines w:val="0"/>
        <w:pageBreakBefore w:val="0"/>
        <w:widowControl w:val="0"/>
        <w:kinsoku/>
        <w:wordWrap/>
        <w:overflowPunct/>
        <w:topLinePunct w:val="0"/>
        <w:autoSpaceDE/>
        <w:autoSpaceDN/>
        <w:bidi w:val="0"/>
        <w:adjustRightInd/>
        <w:snapToGrid/>
        <w:spacing w:line="360" w:lineRule="auto"/>
        <w:ind w:left="0" w:leftChars="0" w:firstLine="527" w:firstLineChars="175"/>
        <w:jc w:val="center"/>
        <w:textAlignment w:val="auto"/>
        <w:outlineLvl w:val="1"/>
        <w:rPr>
          <w:rFonts w:hint="eastAsia"/>
          <w:b/>
          <w:bCs/>
          <w:i w:val="0"/>
          <w:caps w:val="0"/>
          <w:color w:val="333333"/>
          <w:spacing w:val="0"/>
          <w:sz w:val="30"/>
          <w:szCs w:val="30"/>
          <w:lang w:val="en-US" w:eastAsia="zh-CN"/>
        </w:rPr>
      </w:pPr>
      <w:bookmarkStart w:id="205" w:name="_Toc15497"/>
      <w:bookmarkStart w:id="206" w:name="_Toc23292"/>
      <w:bookmarkStart w:id="207" w:name="_Toc25895"/>
      <w:bookmarkStart w:id="208" w:name="_Toc4250"/>
      <w:r>
        <w:rPr>
          <w:rFonts w:hint="default"/>
          <w:b/>
          <w:bCs/>
          <w:i w:val="0"/>
          <w:caps w:val="0"/>
          <w:color w:val="333333"/>
          <w:spacing w:val="0"/>
          <w:sz w:val="30"/>
          <w:szCs w:val="30"/>
          <w:lang w:val="en-US" w:eastAsia="zh-CN"/>
        </w:rPr>
        <w:t>民政部 财政部 国资委 银保监会</w:t>
      </w:r>
      <w:bookmarkEnd w:id="205"/>
      <w:bookmarkEnd w:id="206"/>
      <w:bookmarkEnd w:id="207"/>
      <w:bookmarkEnd w:id="208"/>
    </w:p>
    <w:p>
      <w:pPr>
        <w:keepNext w:val="0"/>
        <w:keepLines w:val="0"/>
        <w:pageBreakBefore w:val="0"/>
        <w:widowControl w:val="0"/>
        <w:kinsoku/>
        <w:wordWrap/>
        <w:overflowPunct/>
        <w:topLinePunct w:val="0"/>
        <w:autoSpaceDE/>
        <w:autoSpaceDN/>
        <w:bidi w:val="0"/>
        <w:adjustRightInd/>
        <w:snapToGrid/>
        <w:spacing w:line="360" w:lineRule="auto"/>
        <w:ind w:left="0" w:leftChars="0" w:firstLine="527" w:firstLineChars="175"/>
        <w:jc w:val="center"/>
        <w:textAlignment w:val="auto"/>
        <w:outlineLvl w:val="1"/>
        <w:rPr>
          <w:rFonts w:hint="eastAsia"/>
          <w:b/>
          <w:bCs/>
          <w:i w:val="0"/>
          <w:caps w:val="0"/>
          <w:color w:val="333333"/>
          <w:spacing w:val="0"/>
          <w:sz w:val="30"/>
          <w:szCs w:val="30"/>
          <w:lang w:val="en-US" w:eastAsia="zh-CN"/>
        </w:rPr>
      </w:pPr>
      <w:bookmarkStart w:id="209" w:name="_Toc17718"/>
      <w:r>
        <w:rPr>
          <w:rFonts w:hint="default"/>
          <w:b/>
          <w:bCs/>
          <w:i w:val="0"/>
          <w:caps w:val="0"/>
          <w:color w:val="333333"/>
          <w:spacing w:val="0"/>
          <w:sz w:val="30"/>
          <w:szCs w:val="30"/>
          <w:lang w:val="en-US" w:eastAsia="zh-CN"/>
        </w:rPr>
        <w:t>关于进一步加强违规涉企收费治理工作的通知</w:t>
      </w:r>
      <w:bookmarkEnd w:id="209"/>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center"/>
        <w:textAlignment w:val="auto"/>
        <w:outlineLvl w:val="1"/>
        <w:rPr>
          <w:rFonts w:hint="eastAsia" w:ascii="楷体" w:hAnsi="楷体" w:eastAsia="楷体" w:cs="楷体"/>
          <w:i w:val="0"/>
          <w:caps w:val="0"/>
          <w:color w:val="333333"/>
          <w:spacing w:val="0"/>
          <w:sz w:val="24"/>
          <w:szCs w:val="24"/>
          <w:lang w:val="en-US" w:eastAsia="zh-CN"/>
        </w:rPr>
      </w:pPr>
      <w:r>
        <w:rPr>
          <w:rFonts w:hint="eastAsia" w:ascii="楷体" w:hAnsi="楷体" w:eastAsia="楷体" w:cs="楷体"/>
          <w:i w:val="0"/>
          <w:caps w:val="0"/>
          <w:color w:val="333333"/>
          <w:spacing w:val="0"/>
          <w:sz w:val="24"/>
          <w:szCs w:val="24"/>
          <w:lang w:val="en-US" w:eastAsia="zh-CN"/>
        </w:rPr>
        <w:t>　　</w:t>
      </w:r>
      <w:bookmarkStart w:id="210" w:name="_Toc17862"/>
      <w:r>
        <w:rPr>
          <w:rFonts w:hint="eastAsia" w:ascii="楷体" w:hAnsi="楷体" w:eastAsia="楷体" w:cs="楷体"/>
          <w:i w:val="0"/>
          <w:caps w:val="0"/>
          <w:color w:val="333333"/>
          <w:spacing w:val="0"/>
          <w:sz w:val="24"/>
          <w:szCs w:val="24"/>
          <w:lang w:val="en-US" w:eastAsia="zh-CN"/>
        </w:rPr>
        <w:t>国市监竞争〔2019〕150号</w:t>
      </w:r>
      <w:bookmarkEnd w:id="210"/>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宋体" w:hAnsi="宋体" w:eastAsia="宋体" w:cs="宋体"/>
          <w:i w:val="0"/>
          <w:caps w:val="0"/>
          <w:color w:val="333333"/>
          <w:spacing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i w:val="0"/>
          <w:caps w:val="0"/>
          <w:color w:val="333333"/>
          <w:spacing w:val="0"/>
          <w:sz w:val="21"/>
          <w:szCs w:val="21"/>
          <w:lang w:val="en-US" w:eastAsia="zh-CN"/>
        </w:rPr>
      </w:pPr>
      <w:bookmarkStart w:id="211" w:name="_Toc15922"/>
      <w:r>
        <w:rPr>
          <w:rFonts w:hint="eastAsia"/>
          <w:i w:val="0"/>
          <w:caps w:val="0"/>
          <w:color w:val="333333"/>
          <w:spacing w:val="0"/>
          <w:sz w:val="21"/>
          <w:szCs w:val="21"/>
          <w:lang w:val="en-US" w:eastAsia="zh-CN"/>
        </w:rPr>
        <w:t>各省、自治区、直辖市人民政府，国务院各部委、各直属机构：</w:t>
      </w:r>
      <w:bookmarkEnd w:id="211"/>
    </w:p>
    <w:p>
      <w:pPr>
        <w:keepNext w:val="0"/>
        <w:keepLines w:val="0"/>
        <w:pageBreakBefore w:val="0"/>
        <w:widowControl w:val="0"/>
        <w:kinsoku/>
        <w:wordWrap/>
        <w:overflowPunct/>
        <w:topLinePunct w:val="0"/>
        <w:autoSpaceDE/>
        <w:autoSpaceDN/>
        <w:bidi w:val="0"/>
        <w:adjustRightInd/>
        <w:snapToGrid/>
        <w:spacing w:line="360" w:lineRule="auto"/>
        <w:ind w:left="0" w:leftChars="0" w:firstLine="367" w:firstLineChars="175"/>
        <w:jc w:val="left"/>
        <w:textAlignment w:val="auto"/>
        <w:outlineLvl w:val="9"/>
        <w:rPr>
          <w:rFonts w:hint="eastAsia"/>
          <w:i w:val="0"/>
          <w:caps w:val="0"/>
          <w:color w:val="333333"/>
          <w:spacing w:val="0"/>
          <w:sz w:val="21"/>
          <w:szCs w:val="21"/>
          <w:lang w:val="en-US" w:eastAsia="zh-CN"/>
        </w:rPr>
      </w:pPr>
      <w:bookmarkStart w:id="212" w:name="_Toc20381"/>
      <w:r>
        <w:rPr>
          <w:rFonts w:hint="eastAsia"/>
          <w:i w:val="0"/>
          <w:caps w:val="0"/>
          <w:color w:val="333333"/>
          <w:spacing w:val="0"/>
          <w:sz w:val="21"/>
          <w:szCs w:val="21"/>
          <w:lang w:val="en-US" w:eastAsia="zh-CN"/>
        </w:rPr>
        <w:t>党中央、国务院高度重视涉企收费治理工作，近几年来部署出台了一系列政策举措，违规收费明显减少，取得积极成效。但是，一些地方、一些部门及其下属单位、商业银行分支机构、行业协会、中介机构等，仍然存在违规收费问题，影响简政降费政策落实和营商环境优化，损害了企业正当利益。为确保党中央、国务院有关决策部署贯彻到位，确保更大规模减税降费政策效果，防止出现冲抵效应，要按照“依法依规、公开透明、系统清理、健全机制”的原则，进一步加强违规涉企收费治理。经国务院同意，现将有关事项通知如下：</w:t>
      </w:r>
      <w:bookmarkEnd w:id="212"/>
    </w:p>
    <w:p>
      <w:pPr>
        <w:keepNext w:val="0"/>
        <w:keepLines w:val="0"/>
        <w:pageBreakBefore w:val="0"/>
        <w:widowControl w:val="0"/>
        <w:kinsoku/>
        <w:wordWrap/>
        <w:overflowPunct/>
        <w:topLinePunct w:val="0"/>
        <w:autoSpaceDE/>
        <w:autoSpaceDN/>
        <w:bidi w:val="0"/>
        <w:adjustRightInd/>
        <w:snapToGrid/>
        <w:spacing w:line="360" w:lineRule="auto"/>
        <w:ind w:left="0" w:leftChars="0" w:firstLine="367" w:firstLineChars="175"/>
        <w:jc w:val="left"/>
        <w:textAlignment w:val="auto"/>
        <w:outlineLvl w:val="9"/>
        <w:rPr>
          <w:rFonts w:hint="eastAsia" w:ascii="黑体" w:hAnsi="黑体" w:eastAsia="黑体" w:cs="黑体"/>
          <w:i w:val="0"/>
          <w:caps w:val="0"/>
          <w:color w:val="333333"/>
          <w:spacing w:val="0"/>
          <w:sz w:val="21"/>
          <w:szCs w:val="21"/>
          <w:lang w:val="en-US" w:eastAsia="zh-CN"/>
        </w:rPr>
      </w:pPr>
      <w:bookmarkStart w:id="213" w:name="_Toc30887"/>
      <w:r>
        <w:rPr>
          <w:rFonts w:hint="eastAsia" w:ascii="黑体" w:hAnsi="黑体" w:eastAsia="黑体" w:cs="黑体"/>
          <w:i w:val="0"/>
          <w:caps w:val="0"/>
          <w:color w:val="333333"/>
          <w:spacing w:val="0"/>
          <w:sz w:val="21"/>
          <w:szCs w:val="21"/>
          <w:lang w:val="en-US" w:eastAsia="zh-CN"/>
        </w:rPr>
        <w:t>一、严格落实责任，加大违规涉企收费查处力度</w:t>
      </w:r>
      <w:bookmarkEnd w:id="213"/>
    </w:p>
    <w:p>
      <w:pPr>
        <w:keepNext w:val="0"/>
        <w:keepLines w:val="0"/>
        <w:pageBreakBefore w:val="0"/>
        <w:widowControl w:val="0"/>
        <w:kinsoku/>
        <w:wordWrap/>
        <w:overflowPunct/>
        <w:topLinePunct w:val="0"/>
        <w:autoSpaceDE/>
        <w:autoSpaceDN/>
        <w:bidi w:val="0"/>
        <w:adjustRightInd/>
        <w:snapToGrid/>
        <w:spacing w:line="360" w:lineRule="auto"/>
        <w:ind w:left="0" w:leftChars="0" w:firstLine="367" w:firstLineChars="175"/>
        <w:jc w:val="left"/>
        <w:textAlignment w:val="auto"/>
        <w:outlineLvl w:val="9"/>
        <w:rPr>
          <w:rFonts w:hint="eastAsia"/>
          <w:i w:val="0"/>
          <w:caps w:val="0"/>
          <w:color w:val="333333"/>
          <w:spacing w:val="0"/>
          <w:sz w:val="21"/>
          <w:szCs w:val="21"/>
          <w:lang w:val="en-US" w:eastAsia="zh-CN"/>
        </w:rPr>
      </w:pPr>
      <w:bookmarkStart w:id="214" w:name="_Toc29593"/>
      <w:r>
        <w:rPr>
          <w:rFonts w:hint="eastAsia" w:ascii="楷体" w:hAnsi="楷体" w:eastAsia="楷体" w:cs="楷体"/>
          <w:i w:val="0"/>
          <w:caps w:val="0"/>
          <w:color w:val="333333"/>
          <w:spacing w:val="0"/>
          <w:sz w:val="21"/>
          <w:szCs w:val="21"/>
          <w:lang w:val="en-US" w:eastAsia="zh-CN"/>
        </w:rPr>
        <w:t>（一）各部门组织开展自查自纠。</w:t>
      </w:r>
      <w:r>
        <w:rPr>
          <w:rFonts w:hint="eastAsia"/>
          <w:i w:val="0"/>
          <w:caps w:val="0"/>
          <w:color w:val="333333"/>
          <w:spacing w:val="0"/>
          <w:sz w:val="21"/>
          <w:szCs w:val="21"/>
          <w:lang w:val="en-US" w:eastAsia="zh-CN"/>
        </w:rPr>
        <w:t>国务院各部门要切实履行行业管理责任，对照有关法律法规和政策文件要求，结合财政部公布的全国政府性基金和行政事业性收费目录清单、国家发展改革委公布的政府定价的经营服务性收费目录清单，抓紧对涉企收费情况进行调研摸底，认真组织在本行业、本系统开展自查，严禁政府部门将自身应承担的费用转嫁企业承担，严禁行业协会和政府部门下属单位借用行政权力违规收费。对自查发现违规收费的，要立即整改，限期退还违规收取的费用，举一反三改进内部管理，坚决杜绝本行业、本系统出现违规收费行为。</w:t>
      </w:r>
      <w:r>
        <w:rPr>
          <w:rFonts w:hint="eastAsia" w:ascii="楷体" w:hAnsi="楷体" w:eastAsia="楷体" w:cs="楷体"/>
          <w:i w:val="0"/>
          <w:caps w:val="0"/>
          <w:color w:val="333333"/>
          <w:spacing w:val="0"/>
          <w:sz w:val="21"/>
          <w:szCs w:val="21"/>
          <w:lang w:val="en-US" w:eastAsia="zh-CN"/>
        </w:rPr>
        <w:t>（国务院各部门负责，2019年9月底前完成）</w:t>
      </w:r>
      <w:bookmarkEnd w:id="214"/>
    </w:p>
    <w:p>
      <w:pPr>
        <w:keepNext w:val="0"/>
        <w:keepLines w:val="0"/>
        <w:pageBreakBefore w:val="0"/>
        <w:widowControl w:val="0"/>
        <w:kinsoku/>
        <w:wordWrap/>
        <w:overflowPunct/>
        <w:topLinePunct w:val="0"/>
        <w:autoSpaceDE/>
        <w:autoSpaceDN/>
        <w:bidi w:val="0"/>
        <w:adjustRightInd/>
        <w:snapToGrid/>
        <w:spacing w:line="360" w:lineRule="auto"/>
        <w:ind w:left="0" w:leftChars="0" w:firstLine="367" w:firstLineChars="175"/>
        <w:jc w:val="left"/>
        <w:textAlignment w:val="auto"/>
        <w:outlineLvl w:val="9"/>
        <w:rPr>
          <w:rFonts w:hint="eastAsia" w:ascii="楷体" w:hAnsi="楷体" w:eastAsia="楷体" w:cs="楷体"/>
          <w:i w:val="0"/>
          <w:caps w:val="0"/>
          <w:color w:val="333333"/>
          <w:spacing w:val="0"/>
          <w:sz w:val="21"/>
          <w:szCs w:val="21"/>
          <w:lang w:val="en-US" w:eastAsia="zh-CN"/>
        </w:rPr>
      </w:pPr>
      <w:bookmarkStart w:id="215" w:name="_Toc14019"/>
      <w:r>
        <w:rPr>
          <w:rFonts w:hint="eastAsia" w:ascii="楷体" w:hAnsi="楷体" w:eastAsia="楷体" w:cs="楷体"/>
          <w:i w:val="0"/>
          <w:caps w:val="0"/>
          <w:color w:val="333333"/>
          <w:spacing w:val="0"/>
          <w:sz w:val="21"/>
          <w:szCs w:val="21"/>
          <w:lang w:val="en-US" w:eastAsia="zh-CN"/>
        </w:rPr>
        <w:t>（二）各商业银行开展自查自纠。</w:t>
      </w:r>
      <w:r>
        <w:rPr>
          <w:rFonts w:hint="eastAsia"/>
          <w:i w:val="0"/>
          <w:caps w:val="0"/>
          <w:color w:val="333333"/>
          <w:spacing w:val="0"/>
          <w:sz w:val="21"/>
          <w:szCs w:val="21"/>
          <w:lang w:val="en-US" w:eastAsia="zh-CN"/>
        </w:rPr>
        <w:t>银保监会督促指导各商业银行总行，严格对照“七不准、四公开”要求（“七不准”：不得以贷转存、不得存贷挂钩、不得以贷收费、不得浮利分费、不得借贷搭售、不得一浮到顶、不得转嫁成本，“四公开”：收费项目公开、服务质价公开、效用功能公开、优惠政策公开），在全行组织自查自纠，坚决清理规范商业银行分支机构违规收费行为。</w:t>
      </w:r>
      <w:r>
        <w:rPr>
          <w:rFonts w:hint="eastAsia" w:ascii="楷体" w:hAnsi="楷体" w:eastAsia="楷体" w:cs="楷体"/>
          <w:i w:val="0"/>
          <w:caps w:val="0"/>
          <w:color w:val="333333"/>
          <w:spacing w:val="0"/>
          <w:sz w:val="21"/>
          <w:szCs w:val="21"/>
          <w:lang w:val="en-US" w:eastAsia="zh-CN"/>
        </w:rPr>
        <w:t>（银保监会负责，2019年9月底前完成）</w:t>
      </w:r>
      <w:bookmarkEnd w:id="215"/>
    </w:p>
    <w:p>
      <w:pPr>
        <w:keepNext w:val="0"/>
        <w:keepLines w:val="0"/>
        <w:pageBreakBefore w:val="0"/>
        <w:widowControl w:val="0"/>
        <w:kinsoku/>
        <w:wordWrap/>
        <w:overflowPunct/>
        <w:topLinePunct w:val="0"/>
        <w:autoSpaceDE/>
        <w:autoSpaceDN/>
        <w:bidi w:val="0"/>
        <w:adjustRightInd/>
        <w:snapToGrid/>
        <w:spacing w:line="360" w:lineRule="auto"/>
        <w:ind w:left="0" w:leftChars="0" w:firstLine="367" w:firstLineChars="175"/>
        <w:jc w:val="left"/>
        <w:textAlignment w:val="auto"/>
        <w:outlineLvl w:val="9"/>
        <w:rPr>
          <w:rFonts w:hint="eastAsia" w:ascii="楷体" w:hAnsi="楷体" w:eastAsia="楷体" w:cs="楷体"/>
          <w:i w:val="0"/>
          <w:caps w:val="0"/>
          <w:color w:val="333333"/>
          <w:spacing w:val="0"/>
          <w:sz w:val="21"/>
          <w:szCs w:val="21"/>
          <w:lang w:val="en-US" w:eastAsia="zh-CN"/>
        </w:rPr>
      </w:pPr>
      <w:bookmarkStart w:id="216" w:name="_Toc20149"/>
      <w:r>
        <w:rPr>
          <w:rFonts w:hint="eastAsia" w:ascii="楷体" w:hAnsi="楷体" w:eastAsia="楷体" w:cs="楷体"/>
          <w:i w:val="0"/>
          <w:caps w:val="0"/>
          <w:color w:val="333333"/>
          <w:spacing w:val="0"/>
          <w:sz w:val="21"/>
          <w:szCs w:val="21"/>
          <w:lang w:val="en-US" w:eastAsia="zh-CN"/>
        </w:rPr>
        <w:t>（三）加强随机抽查和典型案例曝光。</w:t>
      </w:r>
      <w:r>
        <w:rPr>
          <w:rFonts w:hint="eastAsia"/>
          <w:i w:val="0"/>
          <w:caps w:val="0"/>
          <w:color w:val="333333"/>
          <w:spacing w:val="0"/>
          <w:sz w:val="21"/>
          <w:szCs w:val="21"/>
          <w:lang w:val="en-US" w:eastAsia="zh-CN"/>
        </w:rPr>
        <w:t>市场监管总局、银保监会、民政部、国资委结合各部门、各商业银行自查自纠情况，对政府部门及其下属单位,商业银行分支机构，行业协会，以及企业反映问题较多的其他领域进行随机抽查，重点抽查小微企业收费减免政策落实情况。对抽查发现的典型案例予以严肃查处并公开曝光。</w:t>
      </w:r>
      <w:r>
        <w:rPr>
          <w:rFonts w:hint="eastAsia" w:ascii="楷体" w:hAnsi="楷体" w:eastAsia="楷体" w:cs="楷体"/>
          <w:i w:val="0"/>
          <w:caps w:val="0"/>
          <w:color w:val="333333"/>
          <w:spacing w:val="0"/>
          <w:sz w:val="21"/>
          <w:szCs w:val="21"/>
          <w:lang w:val="en-US" w:eastAsia="zh-CN"/>
        </w:rPr>
        <w:t>（市场监管总局、银保监会、民政部、国资委按职责分工分别负责，2019年12月底前完成）</w:t>
      </w:r>
      <w:bookmarkEnd w:id="216"/>
    </w:p>
    <w:p>
      <w:pPr>
        <w:keepNext w:val="0"/>
        <w:keepLines w:val="0"/>
        <w:pageBreakBefore w:val="0"/>
        <w:widowControl w:val="0"/>
        <w:kinsoku/>
        <w:wordWrap/>
        <w:overflowPunct/>
        <w:topLinePunct w:val="0"/>
        <w:autoSpaceDE/>
        <w:autoSpaceDN/>
        <w:bidi w:val="0"/>
        <w:adjustRightInd/>
        <w:snapToGrid/>
        <w:spacing w:line="360" w:lineRule="auto"/>
        <w:ind w:left="0" w:leftChars="0" w:firstLine="367" w:firstLineChars="175"/>
        <w:jc w:val="left"/>
        <w:textAlignment w:val="auto"/>
        <w:outlineLvl w:val="9"/>
        <w:rPr>
          <w:rFonts w:hint="eastAsia" w:ascii="黑体" w:hAnsi="黑体" w:eastAsia="黑体" w:cs="黑体"/>
          <w:i w:val="0"/>
          <w:caps w:val="0"/>
          <w:color w:val="333333"/>
          <w:spacing w:val="0"/>
          <w:sz w:val="21"/>
          <w:szCs w:val="21"/>
          <w:lang w:val="en-US" w:eastAsia="zh-CN"/>
        </w:rPr>
      </w:pPr>
      <w:bookmarkStart w:id="217" w:name="_Toc10820"/>
      <w:r>
        <w:rPr>
          <w:rFonts w:hint="eastAsia" w:ascii="黑体" w:hAnsi="黑体" w:eastAsia="黑体" w:cs="黑体"/>
          <w:i w:val="0"/>
          <w:caps w:val="0"/>
          <w:color w:val="333333"/>
          <w:spacing w:val="0"/>
          <w:sz w:val="21"/>
          <w:szCs w:val="21"/>
          <w:lang w:val="en-US" w:eastAsia="zh-CN"/>
        </w:rPr>
        <w:t>二、事项一律公开，充分接受社会监督</w:t>
      </w:r>
      <w:bookmarkEnd w:id="217"/>
    </w:p>
    <w:p>
      <w:pPr>
        <w:keepNext w:val="0"/>
        <w:keepLines w:val="0"/>
        <w:pageBreakBefore w:val="0"/>
        <w:widowControl w:val="0"/>
        <w:kinsoku/>
        <w:wordWrap/>
        <w:overflowPunct/>
        <w:topLinePunct w:val="0"/>
        <w:autoSpaceDE/>
        <w:autoSpaceDN/>
        <w:bidi w:val="0"/>
        <w:adjustRightInd/>
        <w:snapToGrid/>
        <w:spacing w:line="360" w:lineRule="auto"/>
        <w:ind w:left="0" w:leftChars="0" w:firstLine="367" w:firstLineChars="175"/>
        <w:jc w:val="left"/>
        <w:textAlignment w:val="auto"/>
        <w:outlineLvl w:val="9"/>
        <w:rPr>
          <w:rFonts w:hint="eastAsia" w:ascii="楷体" w:hAnsi="楷体" w:eastAsia="楷体" w:cs="楷体"/>
          <w:i w:val="0"/>
          <w:caps w:val="0"/>
          <w:color w:val="333333"/>
          <w:spacing w:val="0"/>
          <w:sz w:val="21"/>
          <w:szCs w:val="21"/>
          <w:lang w:val="en-US" w:eastAsia="zh-CN"/>
        </w:rPr>
      </w:pPr>
      <w:bookmarkStart w:id="218" w:name="_Toc5719"/>
      <w:r>
        <w:rPr>
          <w:rFonts w:hint="eastAsia" w:ascii="楷体" w:hAnsi="楷体" w:eastAsia="楷体" w:cs="楷体"/>
          <w:i w:val="0"/>
          <w:caps w:val="0"/>
          <w:color w:val="333333"/>
          <w:spacing w:val="0"/>
          <w:sz w:val="21"/>
          <w:szCs w:val="21"/>
          <w:lang w:val="en-US" w:eastAsia="zh-CN"/>
        </w:rPr>
        <w:t>（四）公布要求企业接受第三方服务的事项。</w:t>
      </w:r>
      <w:r>
        <w:rPr>
          <w:rFonts w:hint="eastAsia"/>
          <w:i w:val="0"/>
          <w:caps w:val="0"/>
          <w:color w:val="333333"/>
          <w:spacing w:val="0"/>
          <w:sz w:val="21"/>
          <w:szCs w:val="21"/>
          <w:lang w:val="en-US" w:eastAsia="zh-CN"/>
        </w:rPr>
        <w:t>国务院各部门要梳理涉及本部门职责的有关法律法规和政策文件，对确有依据要求企业接受第三方服务的事项，统一在本部门官方网站公布,并抄送市场监管总局；对法律法规依据不充分或实际不再需要企业接受第三方服务的事项，及时修订相关规章、政策性文件，提出法律法规修改建议。</w:t>
      </w:r>
      <w:r>
        <w:rPr>
          <w:rFonts w:hint="eastAsia" w:ascii="楷体" w:hAnsi="楷体" w:eastAsia="楷体" w:cs="楷体"/>
          <w:i w:val="0"/>
          <w:caps w:val="0"/>
          <w:color w:val="333333"/>
          <w:spacing w:val="0"/>
          <w:sz w:val="21"/>
          <w:szCs w:val="21"/>
          <w:lang w:val="en-US" w:eastAsia="zh-CN"/>
        </w:rPr>
        <w:t>（国务院各部门负责，2019年9月底前完成）</w:t>
      </w:r>
      <w:bookmarkEnd w:id="218"/>
    </w:p>
    <w:p>
      <w:pPr>
        <w:keepNext w:val="0"/>
        <w:keepLines w:val="0"/>
        <w:pageBreakBefore w:val="0"/>
        <w:widowControl w:val="0"/>
        <w:kinsoku/>
        <w:wordWrap/>
        <w:overflowPunct/>
        <w:topLinePunct w:val="0"/>
        <w:autoSpaceDE/>
        <w:autoSpaceDN/>
        <w:bidi w:val="0"/>
        <w:adjustRightInd/>
        <w:snapToGrid/>
        <w:spacing w:line="360" w:lineRule="auto"/>
        <w:ind w:left="0" w:leftChars="0" w:firstLine="367" w:firstLineChars="175"/>
        <w:jc w:val="left"/>
        <w:textAlignment w:val="auto"/>
        <w:outlineLvl w:val="9"/>
        <w:rPr>
          <w:rFonts w:hint="eastAsia" w:ascii="楷体" w:hAnsi="楷体" w:eastAsia="楷体" w:cs="楷体"/>
          <w:i w:val="0"/>
          <w:caps w:val="0"/>
          <w:color w:val="333333"/>
          <w:spacing w:val="0"/>
          <w:sz w:val="21"/>
          <w:szCs w:val="21"/>
          <w:lang w:val="en-US" w:eastAsia="zh-CN"/>
        </w:rPr>
      </w:pPr>
      <w:bookmarkStart w:id="219" w:name="_Toc23310"/>
      <w:r>
        <w:rPr>
          <w:rFonts w:hint="eastAsia" w:ascii="楷体" w:hAnsi="楷体" w:eastAsia="楷体" w:cs="楷体"/>
          <w:i w:val="0"/>
          <w:caps w:val="0"/>
          <w:color w:val="333333"/>
          <w:spacing w:val="0"/>
          <w:sz w:val="21"/>
          <w:szCs w:val="21"/>
          <w:lang w:val="en-US" w:eastAsia="zh-CN"/>
        </w:rPr>
        <w:t>（五）公布政府部门行政委托事项。</w:t>
      </w:r>
      <w:r>
        <w:rPr>
          <w:rFonts w:hint="eastAsia"/>
          <w:i w:val="0"/>
          <w:caps w:val="0"/>
          <w:color w:val="333333"/>
          <w:spacing w:val="0"/>
          <w:sz w:val="21"/>
          <w:szCs w:val="21"/>
          <w:lang w:val="en-US" w:eastAsia="zh-CN"/>
        </w:rPr>
        <w:t>地方各级人民政府和国务院各部门按照分级负责的原则，部署清理各级政府部门以文件、会议纪要等形式委托事业单位、行业协会、中介机构等办理的事项。属于政府自身职责范围且适合通过市场化方式提供的服务事项，按规定纳入有关部门政府购买服务指导性目录并实施政府购买服务；确需以行政委托方式交由事业单位等承办的行政管理事项，按规定纳入政府部门委托事项清单并在官方网站公布。</w:t>
      </w:r>
      <w:r>
        <w:rPr>
          <w:rFonts w:hint="eastAsia" w:ascii="楷体" w:hAnsi="楷体" w:eastAsia="楷体" w:cs="楷体"/>
          <w:i w:val="0"/>
          <w:caps w:val="0"/>
          <w:color w:val="333333"/>
          <w:spacing w:val="0"/>
          <w:sz w:val="21"/>
          <w:szCs w:val="21"/>
          <w:lang w:val="en-US" w:eastAsia="zh-CN"/>
        </w:rPr>
        <w:t>（地方各级人民政府、国务院有关部门负责，2019年9月底前完成）</w:t>
      </w:r>
      <w:bookmarkEnd w:id="219"/>
    </w:p>
    <w:p>
      <w:pPr>
        <w:keepNext w:val="0"/>
        <w:keepLines w:val="0"/>
        <w:pageBreakBefore w:val="0"/>
        <w:widowControl w:val="0"/>
        <w:kinsoku/>
        <w:wordWrap/>
        <w:overflowPunct/>
        <w:topLinePunct w:val="0"/>
        <w:autoSpaceDE/>
        <w:autoSpaceDN/>
        <w:bidi w:val="0"/>
        <w:adjustRightInd/>
        <w:snapToGrid/>
        <w:spacing w:line="360" w:lineRule="auto"/>
        <w:ind w:left="0" w:leftChars="0" w:firstLine="367" w:firstLineChars="175"/>
        <w:jc w:val="left"/>
        <w:textAlignment w:val="auto"/>
        <w:outlineLvl w:val="9"/>
        <w:rPr>
          <w:rFonts w:hint="eastAsia" w:ascii="楷体" w:hAnsi="楷体" w:eastAsia="楷体" w:cs="楷体"/>
          <w:i w:val="0"/>
          <w:caps w:val="0"/>
          <w:color w:val="333333"/>
          <w:spacing w:val="0"/>
          <w:sz w:val="21"/>
          <w:szCs w:val="21"/>
          <w:lang w:val="en-US" w:eastAsia="zh-CN"/>
        </w:rPr>
      </w:pPr>
      <w:bookmarkStart w:id="220" w:name="_Toc8837"/>
      <w:r>
        <w:rPr>
          <w:rFonts w:hint="eastAsia" w:ascii="楷体" w:hAnsi="楷体" w:eastAsia="楷体" w:cs="楷体"/>
          <w:i w:val="0"/>
          <w:caps w:val="0"/>
          <w:color w:val="333333"/>
          <w:spacing w:val="0"/>
          <w:sz w:val="21"/>
          <w:szCs w:val="21"/>
          <w:lang w:val="en-US" w:eastAsia="zh-CN"/>
        </w:rPr>
        <w:t>（六）集中公示下属单位收费事项。</w:t>
      </w:r>
      <w:r>
        <w:rPr>
          <w:rFonts w:hint="eastAsia"/>
          <w:i w:val="0"/>
          <w:caps w:val="0"/>
          <w:color w:val="333333"/>
          <w:spacing w:val="0"/>
          <w:sz w:val="21"/>
          <w:szCs w:val="21"/>
          <w:lang w:val="en-US" w:eastAsia="zh-CN"/>
        </w:rPr>
        <w:t>地方各级人民政府要部署所属部门在官方网站统一公布下属单位收费项目、收费标准、收费依据、收费性质和具体服务内容等，自觉接受社会监督，做到收费公开透明。</w:t>
      </w:r>
      <w:r>
        <w:rPr>
          <w:rFonts w:hint="eastAsia" w:ascii="楷体" w:hAnsi="楷体" w:eastAsia="楷体" w:cs="楷体"/>
          <w:i w:val="0"/>
          <w:caps w:val="0"/>
          <w:color w:val="333333"/>
          <w:spacing w:val="0"/>
          <w:sz w:val="21"/>
          <w:szCs w:val="21"/>
          <w:lang w:val="en-US" w:eastAsia="zh-CN"/>
        </w:rPr>
        <w:t>（地方各级人民政府负责，2019年9月底前完成）</w:t>
      </w:r>
      <w:bookmarkEnd w:id="220"/>
    </w:p>
    <w:p>
      <w:pPr>
        <w:keepNext w:val="0"/>
        <w:keepLines w:val="0"/>
        <w:pageBreakBefore w:val="0"/>
        <w:widowControl w:val="0"/>
        <w:kinsoku/>
        <w:wordWrap/>
        <w:overflowPunct/>
        <w:topLinePunct w:val="0"/>
        <w:autoSpaceDE/>
        <w:autoSpaceDN/>
        <w:bidi w:val="0"/>
        <w:adjustRightInd/>
        <w:snapToGrid/>
        <w:spacing w:line="360" w:lineRule="auto"/>
        <w:ind w:left="0" w:leftChars="0" w:firstLine="367" w:firstLineChars="175"/>
        <w:jc w:val="left"/>
        <w:textAlignment w:val="auto"/>
        <w:outlineLvl w:val="9"/>
        <w:rPr>
          <w:rFonts w:hint="eastAsia" w:ascii="楷体" w:hAnsi="楷体" w:eastAsia="楷体" w:cs="楷体"/>
          <w:i w:val="0"/>
          <w:caps w:val="0"/>
          <w:color w:val="333333"/>
          <w:spacing w:val="0"/>
          <w:sz w:val="21"/>
          <w:szCs w:val="21"/>
          <w:lang w:val="en-US" w:eastAsia="zh-CN"/>
        </w:rPr>
      </w:pPr>
      <w:bookmarkStart w:id="221" w:name="_Toc14844"/>
      <w:r>
        <w:rPr>
          <w:rFonts w:hint="eastAsia" w:ascii="楷体" w:hAnsi="楷体" w:eastAsia="楷体" w:cs="楷体"/>
          <w:i w:val="0"/>
          <w:caps w:val="0"/>
          <w:color w:val="333333"/>
          <w:spacing w:val="0"/>
          <w:sz w:val="21"/>
          <w:szCs w:val="21"/>
          <w:lang w:val="en-US" w:eastAsia="zh-CN"/>
        </w:rPr>
        <w:t>（七）公布行政审批中介服务事项。</w:t>
      </w:r>
      <w:r>
        <w:rPr>
          <w:rFonts w:hint="eastAsia"/>
          <w:i w:val="0"/>
          <w:caps w:val="0"/>
          <w:color w:val="333333"/>
          <w:spacing w:val="0"/>
          <w:sz w:val="21"/>
          <w:szCs w:val="21"/>
          <w:lang w:val="en-US" w:eastAsia="zh-CN"/>
        </w:rPr>
        <w:t>各省、自治区、直辖市人民政府要制定本地区统一的《保留为行政审批必要条件的中介服务事项》，取消没有法定依据的行政审批中介服务项目,对保留的中介服务事项费用逐项明确由企业承担还是审批部门承担，并在官方网站公布。</w:t>
      </w:r>
      <w:r>
        <w:rPr>
          <w:rFonts w:hint="eastAsia" w:ascii="楷体" w:hAnsi="楷体" w:eastAsia="楷体" w:cs="楷体"/>
          <w:i w:val="0"/>
          <w:caps w:val="0"/>
          <w:color w:val="333333"/>
          <w:spacing w:val="0"/>
          <w:sz w:val="21"/>
          <w:szCs w:val="21"/>
          <w:lang w:val="en-US" w:eastAsia="zh-CN"/>
        </w:rPr>
        <w:t>（各省、自治区、直辖市人民政府负责，2019年9月底前完成）</w:t>
      </w:r>
      <w:bookmarkEnd w:id="221"/>
    </w:p>
    <w:p>
      <w:pPr>
        <w:keepNext w:val="0"/>
        <w:keepLines w:val="0"/>
        <w:pageBreakBefore w:val="0"/>
        <w:widowControl w:val="0"/>
        <w:kinsoku/>
        <w:wordWrap/>
        <w:overflowPunct/>
        <w:topLinePunct w:val="0"/>
        <w:autoSpaceDE/>
        <w:autoSpaceDN/>
        <w:bidi w:val="0"/>
        <w:adjustRightInd/>
        <w:snapToGrid/>
        <w:spacing w:line="360" w:lineRule="auto"/>
        <w:ind w:left="0" w:leftChars="0" w:firstLine="367" w:firstLineChars="175"/>
        <w:jc w:val="left"/>
        <w:textAlignment w:val="auto"/>
        <w:outlineLvl w:val="9"/>
        <w:rPr>
          <w:rFonts w:hint="eastAsia" w:ascii="黑体" w:hAnsi="黑体" w:eastAsia="黑体" w:cs="黑体"/>
          <w:i w:val="0"/>
          <w:caps w:val="0"/>
          <w:color w:val="333333"/>
          <w:spacing w:val="0"/>
          <w:sz w:val="21"/>
          <w:szCs w:val="21"/>
          <w:lang w:val="en-US" w:eastAsia="zh-CN"/>
        </w:rPr>
      </w:pPr>
      <w:bookmarkStart w:id="222" w:name="_Toc24049"/>
      <w:r>
        <w:rPr>
          <w:rFonts w:hint="eastAsia" w:ascii="黑体" w:hAnsi="黑体" w:eastAsia="黑体" w:cs="黑体"/>
          <w:i w:val="0"/>
          <w:caps w:val="0"/>
          <w:color w:val="333333"/>
          <w:spacing w:val="0"/>
          <w:sz w:val="21"/>
          <w:szCs w:val="21"/>
          <w:lang w:val="en-US" w:eastAsia="zh-CN"/>
        </w:rPr>
        <w:t>三、加强综合监管，建立健全治理长效机制</w:t>
      </w:r>
      <w:bookmarkEnd w:id="222"/>
    </w:p>
    <w:p>
      <w:pPr>
        <w:keepNext w:val="0"/>
        <w:keepLines w:val="0"/>
        <w:pageBreakBefore w:val="0"/>
        <w:widowControl w:val="0"/>
        <w:kinsoku/>
        <w:wordWrap/>
        <w:overflowPunct/>
        <w:topLinePunct w:val="0"/>
        <w:autoSpaceDE/>
        <w:autoSpaceDN/>
        <w:bidi w:val="0"/>
        <w:adjustRightInd/>
        <w:snapToGrid/>
        <w:spacing w:line="360" w:lineRule="auto"/>
        <w:ind w:left="0" w:leftChars="0" w:firstLine="367" w:firstLineChars="175"/>
        <w:jc w:val="left"/>
        <w:textAlignment w:val="auto"/>
        <w:outlineLvl w:val="9"/>
        <w:rPr>
          <w:rFonts w:hint="eastAsia"/>
          <w:i w:val="0"/>
          <w:caps w:val="0"/>
          <w:color w:val="333333"/>
          <w:spacing w:val="0"/>
          <w:sz w:val="21"/>
          <w:szCs w:val="21"/>
          <w:lang w:val="en-US" w:eastAsia="zh-CN"/>
        </w:rPr>
      </w:pPr>
      <w:bookmarkStart w:id="223" w:name="_Toc22320"/>
      <w:r>
        <w:rPr>
          <w:rFonts w:hint="eastAsia" w:ascii="楷体" w:hAnsi="楷体" w:eastAsia="楷体" w:cs="楷体"/>
          <w:i w:val="0"/>
          <w:caps w:val="0"/>
          <w:color w:val="333333"/>
          <w:spacing w:val="0"/>
          <w:sz w:val="21"/>
          <w:szCs w:val="21"/>
          <w:lang w:val="en-US" w:eastAsia="zh-CN"/>
        </w:rPr>
        <w:t>（八）完善举报投诉查处机制。</w:t>
      </w:r>
      <w:r>
        <w:rPr>
          <w:rFonts w:hint="eastAsia"/>
          <w:i w:val="0"/>
          <w:caps w:val="0"/>
          <w:color w:val="333333"/>
          <w:spacing w:val="0"/>
          <w:sz w:val="21"/>
          <w:szCs w:val="21"/>
          <w:lang w:val="en-US" w:eastAsia="zh-CN"/>
        </w:rPr>
        <w:t>建立违规涉企收费举报投诉线索高效查处、信息共享、联合惩戒等工作制度，降低企业维权成本，提高监管效率。</w:t>
      </w:r>
      <w:r>
        <w:rPr>
          <w:rFonts w:hint="eastAsia" w:ascii="楷体" w:hAnsi="楷体" w:eastAsia="楷体" w:cs="楷体"/>
          <w:i w:val="0"/>
          <w:caps w:val="0"/>
          <w:color w:val="333333"/>
          <w:spacing w:val="0"/>
          <w:sz w:val="21"/>
          <w:szCs w:val="21"/>
          <w:lang w:val="en-US" w:eastAsia="zh-CN"/>
        </w:rPr>
        <w:t>（工业和信息化部牵头，减轻企业负担部际联席会议相关成员单位按职责分工负责，持续推进）</w:t>
      </w:r>
      <w:bookmarkEnd w:id="223"/>
    </w:p>
    <w:p>
      <w:pPr>
        <w:keepNext w:val="0"/>
        <w:keepLines w:val="0"/>
        <w:pageBreakBefore w:val="0"/>
        <w:widowControl w:val="0"/>
        <w:kinsoku/>
        <w:wordWrap/>
        <w:overflowPunct/>
        <w:topLinePunct w:val="0"/>
        <w:autoSpaceDE/>
        <w:autoSpaceDN/>
        <w:bidi w:val="0"/>
        <w:adjustRightInd/>
        <w:snapToGrid/>
        <w:spacing w:line="360" w:lineRule="auto"/>
        <w:ind w:left="0" w:leftChars="0" w:firstLine="367" w:firstLineChars="175"/>
        <w:jc w:val="left"/>
        <w:textAlignment w:val="auto"/>
        <w:outlineLvl w:val="9"/>
        <w:rPr>
          <w:rFonts w:hint="eastAsia" w:ascii="楷体" w:hAnsi="楷体" w:eastAsia="楷体" w:cs="楷体"/>
          <w:i w:val="0"/>
          <w:caps w:val="0"/>
          <w:color w:val="333333"/>
          <w:spacing w:val="0"/>
          <w:sz w:val="21"/>
          <w:szCs w:val="21"/>
          <w:lang w:val="en-US" w:eastAsia="zh-CN"/>
        </w:rPr>
      </w:pPr>
      <w:bookmarkStart w:id="224" w:name="_Toc3977"/>
      <w:r>
        <w:rPr>
          <w:rFonts w:hint="eastAsia" w:ascii="楷体" w:hAnsi="楷体" w:eastAsia="楷体" w:cs="楷体"/>
          <w:i w:val="0"/>
          <w:caps w:val="0"/>
          <w:color w:val="333333"/>
          <w:spacing w:val="0"/>
          <w:sz w:val="21"/>
          <w:szCs w:val="21"/>
          <w:lang w:val="en-US" w:eastAsia="zh-CN"/>
        </w:rPr>
        <w:t>（九）落实经费保障要求。</w:t>
      </w:r>
      <w:r>
        <w:rPr>
          <w:rFonts w:hint="eastAsia"/>
          <w:i w:val="0"/>
          <w:caps w:val="0"/>
          <w:color w:val="333333"/>
          <w:spacing w:val="0"/>
          <w:sz w:val="21"/>
          <w:szCs w:val="21"/>
          <w:lang w:val="en-US" w:eastAsia="zh-CN"/>
        </w:rPr>
        <w:t>相关涉企收费项目取消、减免后，按照预算管理规定应由财政予以保障的支出，应当纳入政府预算予以安排。各地区要对有关预算安排情况进行认真梳理，对保障不到位的要及时调整，确保合理经费。地方各级人民政府不得以保障预算安排为由违规收费。财政部要持续加大预算监管力度，对有关违法违规行为予以严肃处理。</w:t>
      </w:r>
      <w:r>
        <w:rPr>
          <w:rFonts w:hint="eastAsia" w:ascii="楷体" w:hAnsi="楷体" w:eastAsia="楷体" w:cs="楷体"/>
          <w:i w:val="0"/>
          <w:caps w:val="0"/>
          <w:color w:val="333333"/>
          <w:spacing w:val="0"/>
          <w:sz w:val="21"/>
          <w:szCs w:val="21"/>
          <w:lang w:val="en-US" w:eastAsia="zh-CN"/>
        </w:rPr>
        <w:t>（地方各级人民政府、财政部负责，持续推进）</w:t>
      </w:r>
      <w:bookmarkEnd w:id="224"/>
    </w:p>
    <w:p>
      <w:pPr>
        <w:keepNext w:val="0"/>
        <w:keepLines w:val="0"/>
        <w:pageBreakBefore w:val="0"/>
        <w:widowControl w:val="0"/>
        <w:kinsoku/>
        <w:wordWrap/>
        <w:overflowPunct/>
        <w:topLinePunct w:val="0"/>
        <w:autoSpaceDE/>
        <w:autoSpaceDN/>
        <w:bidi w:val="0"/>
        <w:adjustRightInd/>
        <w:snapToGrid/>
        <w:spacing w:line="360" w:lineRule="auto"/>
        <w:ind w:left="0" w:leftChars="0" w:firstLine="367" w:firstLineChars="175"/>
        <w:jc w:val="left"/>
        <w:textAlignment w:val="auto"/>
        <w:outlineLvl w:val="9"/>
        <w:rPr>
          <w:rFonts w:hint="eastAsia" w:ascii="楷体" w:hAnsi="楷体" w:eastAsia="楷体" w:cs="楷体"/>
          <w:i w:val="0"/>
          <w:caps w:val="0"/>
          <w:color w:val="333333"/>
          <w:spacing w:val="0"/>
          <w:sz w:val="21"/>
          <w:szCs w:val="21"/>
          <w:lang w:val="en-US" w:eastAsia="zh-CN"/>
        </w:rPr>
      </w:pPr>
      <w:bookmarkStart w:id="225" w:name="_Toc16365"/>
      <w:r>
        <w:rPr>
          <w:rFonts w:hint="eastAsia" w:ascii="楷体" w:hAnsi="楷体" w:eastAsia="楷体" w:cs="楷体"/>
          <w:i w:val="0"/>
          <w:caps w:val="0"/>
          <w:color w:val="333333"/>
          <w:spacing w:val="0"/>
          <w:sz w:val="21"/>
          <w:szCs w:val="21"/>
          <w:lang w:val="en-US" w:eastAsia="zh-CN"/>
        </w:rPr>
        <w:t>（十）依法依规规范中介机构行为。</w:t>
      </w:r>
      <w:r>
        <w:rPr>
          <w:rFonts w:hint="eastAsia"/>
          <w:i w:val="0"/>
          <w:caps w:val="0"/>
          <w:color w:val="333333"/>
          <w:spacing w:val="0"/>
          <w:sz w:val="21"/>
          <w:szCs w:val="21"/>
          <w:lang w:val="en-US" w:eastAsia="zh-CN"/>
        </w:rPr>
        <w:t>各地区、国务院各部门要加快推进中介机构与审批部门脱钩,放宽准入条件，加快市场培育，推进中介服务标准化，通过市场充分竞争形成合理价格。加强对中介机构的事中事后监管，纠正中介机构借用行政职能或行政资源垄断经营、强制服务、不合理收费等问题。</w:t>
      </w:r>
      <w:r>
        <w:rPr>
          <w:rFonts w:hint="eastAsia" w:ascii="楷体" w:hAnsi="楷体" w:eastAsia="楷体" w:cs="楷体"/>
          <w:i w:val="0"/>
          <w:caps w:val="0"/>
          <w:color w:val="333333"/>
          <w:spacing w:val="0"/>
          <w:sz w:val="21"/>
          <w:szCs w:val="21"/>
          <w:lang w:val="en-US" w:eastAsia="zh-CN"/>
        </w:rPr>
        <w:t>（地方各级人民政府、国务院各部门负责，持续推进）</w:t>
      </w:r>
      <w:bookmarkEnd w:id="225"/>
    </w:p>
    <w:p>
      <w:pPr>
        <w:keepNext w:val="0"/>
        <w:keepLines w:val="0"/>
        <w:pageBreakBefore w:val="0"/>
        <w:widowControl w:val="0"/>
        <w:kinsoku/>
        <w:wordWrap/>
        <w:overflowPunct/>
        <w:topLinePunct w:val="0"/>
        <w:autoSpaceDE/>
        <w:autoSpaceDN/>
        <w:bidi w:val="0"/>
        <w:adjustRightInd/>
        <w:snapToGrid/>
        <w:spacing w:line="360" w:lineRule="auto"/>
        <w:ind w:left="0" w:leftChars="0" w:firstLine="367" w:firstLineChars="175"/>
        <w:jc w:val="left"/>
        <w:textAlignment w:val="auto"/>
        <w:outlineLvl w:val="9"/>
        <w:rPr>
          <w:rFonts w:hint="eastAsia" w:ascii="楷体" w:hAnsi="楷体" w:eastAsia="楷体" w:cs="楷体"/>
          <w:i w:val="0"/>
          <w:caps w:val="0"/>
          <w:color w:val="333333"/>
          <w:spacing w:val="0"/>
          <w:sz w:val="21"/>
          <w:szCs w:val="21"/>
          <w:lang w:val="en-US" w:eastAsia="zh-CN"/>
        </w:rPr>
      </w:pPr>
      <w:bookmarkStart w:id="226" w:name="_Toc4454"/>
      <w:r>
        <w:rPr>
          <w:rFonts w:hint="eastAsia" w:ascii="楷体" w:hAnsi="楷体" w:eastAsia="楷体" w:cs="楷体"/>
          <w:i w:val="0"/>
          <w:caps w:val="0"/>
          <w:color w:val="333333"/>
          <w:spacing w:val="0"/>
          <w:sz w:val="21"/>
          <w:szCs w:val="21"/>
          <w:lang w:val="en-US" w:eastAsia="zh-CN"/>
        </w:rPr>
        <w:t>（十一）建立治理成效评估机制。</w:t>
      </w:r>
      <w:r>
        <w:rPr>
          <w:rFonts w:hint="eastAsia"/>
          <w:i w:val="0"/>
          <w:caps w:val="0"/>
          <w:color w:val="333333"/>
          <w:spacing w:val="0"/>
          <w:sz w:val="21"/>
          <w:szCs w:val="21"/>
          <w:lang w:val="en-US" w:eastAsia="zh-CN"/>
        </w:rPr>
        <w:t>减轻企业负担部际联席会议办公室结合企业减负调查评估工作，建立治理违规涉企收费成效评估机制，引入第三方对各地区、各部门降费减负和治理违规收费情况进行评估。</w:t>
      </w:r>
      <w:r>
        <w:rPr>
          <w:rFonts w:hint="eastAsia" w:ascii="楷体" w:hAnsi="楷体" w:eastAsia="楷体" w:cs="楷体"/>
          <w:i w:val="0"/>
          <w:caps w:val="0"/>
          <w:color w:val="333333"/>
          <w:spacing w:val="0"/>
          <w:sz w:val="21"/>
          <w:szCs w:val="21"/>
          <w:lang w:val="en-US" w:eastAsia="zh-CN"/>
        </w:rPr>
        <w:t>（工业和信息化部、市场监管总局牵头负责，持续推进）</w:t>
      </w:r>
      <w:bookmarkEnd w:id="226"/>
    </w:p>
    <w:p>
      <w:pPr>
        <w:keepNext w:val="0"/>
        <w:keepLines w:val="0"/>
        <w:pageBreakBefore w:val="0"/>
        <w:widowControl w:val="0"/>
        <w:kinsoku/>
        <w:wordWrap/>
        <w:overflowPunct/>
        <w:topLinePunct w:val="0"/>
        <w:autoSpaceDE/>
        <w:autoSpaceDN/>
        <w:bidi w:val="0"/>
        <w:adjustRightInd/>
        <w:snapToGrid/>
        <w:spacing w:line="360" w:lineRule="auto"/>
        <w:ind w:left="0" w:leftChars="0" w:firstLine="367" w:firstLineChars="175"/>
        <w:jc w:val="left"/>
        <w:textAlignment w:val="auto"/>
        <w:outlineLvl w:val="9"/>
        <w:rPr>
          <w:rFonts w:hint="eastAsia" w:ascii="楷体" w:hAnsi="楷体" w:eastAsia="楷体" w:cs="楷体"/>
          <w:i w:val="0"/>
          <w:caps w:val="0"/>
          <w:color w:val="333333"/>
          <w:spacing w:val="0"/>
          <w:sz w:val="21"/>
          <w:szCs w:val="21"/>
          <w:lang w:val="en-US" w:eastAsia="zh-CN"/>
        </w:rPr>
      </w:pPr>
      <w:bookmarkStart w:id="227" w:name="_Toc26690"/>
      <w:r>
        <w:rPr>
          <w:rFonts w:hint="eastAsia" w:ascii="楷体" w:hAnsi="楷体" w:eastAsia="楷体" w:cs="楷体"/>
          <w:i w:val="0"/>
          <w:caps w:val="0"/>
          <w:color w:val="333333"/>
          <w:spacing w:val="0"/>
          <w:sz w:val="21"/>
          <w:szCs w:val="21"/>
          <w:lang w:val="en-US" w:eastAsia="zh-CN"/>
        </w:rPr>
        <w:t>（十二）健全治理法律体系。</w:t>
      </w:r>
      <w:r>
        <w:rPr>
          <w:rFonts w:hint="eastAsia"/>
          <w:i w:val="0"/>
          <w:caps w:val="0"/>
          <w:color w:val="333333"/>
          <w:spacing w:val="0"/>
          <w:sz w:val="21"/>
          <w:szCs w:val="21"/>
          <w:lang w:val="en-US" w:eastAsia="zh-CN"/>
        </w:rPr>
        <w:t>研究推进收费监管立法，完善收费监管制度,进一步明确各类违规收费行为的法律责任，强化各类收费主体依法收费意识。</w:t>
      </w:r>
      <w:r>
        <w:rPr>
          <w:rFonts w:hint="eastAsia" w:ascii="楷体" w:hAnsi="楷体" w:eastAsia="楷体" w:cs="楷体"/>
          <w:i w:val="0"/>
          <w:caps w:val="0"/>
          <w:color w:val="333333"/>
          <w:spacing w:val="0"/>
          <w:sz w:val="21"/>
          <w:szCs w:val="21"/>
          <w:lang w:val="en-US" w:eastAsia="zh-CN"/>
        </w:rPr>
        <w:t>（市场监管总局等相关部门按职责分工负责，持续推进）</w:t>
      </w:r>
      <w:bookmarkEnd w:id="227"/>
    </w:p>
    <w:p>
      <w:pPr>
        <w:keepNext w:val="0"/>
        <w:keepLines w:val="0"/>
        <w:pageBreakBefore w:val="0"/>
        <w:widowControl w:val="0"/>
        <w:kinsoku/>
        <w:wordWrap/>
        <w:overflowPunct/>
        <w:topLinePunct w:val="0"/>
        <w:autoSpaceDE/>
        <w:autoSpaceDN/>
        <w:bidi w:val="0"/>
        <w:adjustRightInd/>
        <w:snapToGrid/>
        <w:spacing w:line="360" w:lineRule="auto"/>
        <w:ind w:left="0" w:leftChars="0" w:firstLine="367" w:firstLineChars="175"/>
        <w:jc w:val="left"/>
        <w:textAlignment w:val="auto"/>
        <w:outlineLvl w:val="9"/>
        <w:rPr>
          <w:rFonts w:hint="eastAsia"/>
          <w:i w:val="0"/>
          <w:caps w:val="0"/>
          <w:color w:val="333333"/>
          <w:spacing w:val="0"/>
          <w:sz w:val="21"/>
          <w:szCs w:val="21"/>
          <w:lang w:val="en-US" w:eastAsia="zh-CN"/>
        </w:rPr>
      </w:pPr>
      <w:bookmarkStart w:id="228" w:name="_Toc26698"/>
      <w:r>
        <w:rPr>
          <w:rFonts w:hint="eastAsia"/>
          <w:i w:val="0"/>
          <w:caps w:val="0"/>
          <w:color w:val="333333"/>
          <w:spacing w:val="0"/>
          <w:sz w:val="21"/>
          <w:szCs w:val="21"/>
          <w:lang w:val="en-US" w:eastAsia="zh-CN"/>
        </w:rPr>
        <w:t>各地区、各部门要认真贯彻落实党中央、国务院工作部署，精心组织实施，积极协调配合，形成上下联动治理违规涉企收费的工作格局，持续深化“放管服”改革，探索创新监管方式，降低制度成本，进一步增强企业获得感，激发市场活力。</w:t>
      </w:r>
      <w:bookmarkEnd w:id="228"/>
    </w:p>
    <w:p>
      <w:pPr>
        <w:keepNext w:val="0"/>
        <w:keepLines w:val="0"/>
        <w:pageBreakBefore w:val="0"/>
        <w:widowControl w:val="0"/>
        <w:kinsoku/>
        <w:wordWrap/>
        <w:overflowPunct/>
        <w:topLinePunct w:val="0"/>
        <w:autoSpaceDE/>
        <w:autoSpaceDN/>
        <w:bidi w:val="0"/>
        <w:adjustRightInd/>
        <w:snapToGrid/>
        <w:spacing w:line="360" w:lineRule="auto"/>
        <w:ind w:left="0" w:leftChars="0" w:firstLine="367" w:firstLineChars="175"/>
        <w:jc w:val="left"/>
        <w:textAlignment w:val="auto"/>
        <w:outlineLvl w:val="1"/>
        <w:rPr>
          <w:rFonts w:hint="default"/>
          <w:i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367" w:firstLineChars="175"/>
        <w:jc w:val="left"/>
        <w:textAlignment w:val="auto"/>
        <w:outlineLvl w:val="1"/>
        <w:rPr>
          <w:rFonts w:hint="default"/>
          <w:i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367" w:firstLineChars="175"/>
        <w:jc w:val="left"/>
        <w:textAlignment w:val="auto"/>
        <w:outlineLvl w:val="1"/>
        <w:rPr>
          <w:rFonts w:hint="default"/>
          <w:i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367" w:firstLineChars="175"/>
        <w:jc w:val="left"/>
        <w:textAlignment w:val="auto"/>
        <w:outlineLvl w:val="1"/>
        <w:rPr>
          <w:rFonts w:hint="default"/>
          <w:i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367" w:firstLineChars="175"/>
        <w:jc w:val="left"/>
        <w:textAlignment w:val="auto"/>
        <w:outlineLvl w:val="1"/>
        <w:rPr>
          <w:rFonts w:hint="default"/>
          <w:i w:val="0"/>
          <w:caps w:val="0"/>
          <w:color w:val="333333"/>
          <w:spacing w:val="0"/>
          <w:sz w:val="21"/>
          <w:szCs w:val="21"/>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17" w:lineRule="atLeast"/>
        <w:jc w:val="center"/>
        <w:outlineLvl w:val="1"/>
        <w:rPr>
          <w:rFonts w:hint="eastAsia" w:ascii="宋体" w:hAnsi="宋体" w:eastAsia="宋体" w:cs="宋体"/>
          <w:b/>
          <w:color w:val="auto"/>
          <w:sz w:val="30"/>
          <w:szCs w:val="30"/>
          <w:u w:val="none"/>
        </w:rPr>
      </w:pPr>
      <w:bookmarkStart w:id="229" w:name="_Toc9562"/>
      <w:r>
        <w:rPr>
          <w:rFonts w:hint="eastAsia" w:ascii="宋体" w:hAnsi="宋体" w:eastAsia="宋体" w:cs="宋体"/>
          <w:b/>
          <w:color w:val="auto"/>
          <w:kern w:val="0"/>
          <w:sz w:val="30"/>
          <w:szCs w:val="30"/>
          <w:u w:val="none"/>
          <w:lang w:val="en-US" w:eastAsia="zh-CN" w:bidi="ar"/>
        </w:rPr>
        <w:t>科技部印发《关于新时期支持科技型中小企业加快创新发展的若干政策措施》的通知</w:t>
      </w:r>
      <w:bookmarkEnd w:id="229"/>
    </w:p>
    <w:p>
      <w:pPr>
        <w:pStyle w:val="20"/>
        <w:keepNext w:val="0"/>
        <w:keepLines w:val="0"/>
        <w:widowControl/>
        <w:suppressLineNumbers w:val="0"/>
        <w:spacing w:line="17" w:lineRule="atLeast"/>
        <w:jc w:val="center"/>
        <w:outlineLvl w:val="1"/>
        <w:rPr>
          <w:rFonts w:hint="eastAsia" w:ascii="楷体" w:hAnsi="楷体" w:eastAsia="楷体" w:cs="楷体"/>
          <w:sz w:val="24"/>
          <w:szCs w:val="24"/>
        </w:rPr>
      </w:pPr>
      <w:bookmarkStart w:id="230" w:name="_Toc28038"/>
      <w:r>
        <w:rPr>
          <w:rFonts w:hint="eastAsia" w:ascii="楷体" w:hAnsi="楷体" w:eastAsia="楷体" w:cs="楷体"/>
          <w:color w:val="333333"/>
          <w:sz w:val="24"/>
          <w:szCs w:val="24"/>
          <w:u w:val="none"/>
        </w:rPr>
        <w:t>国科发区〔2019〕268号</w:t>
      </w:r>
      <w:bookmarkEnd w:id="230"/>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left"/>
        <w:textAlignment w:val="auto"/>
        <w:rPr>
          <w:sz w:val="21"/>
          <w:szCs w:val="21"/>
        </w:rPr>
      </w:pPr>
      <w:r>
        <w:rPr>
          <w:rFonts w:hint="eastAsia" w:ascii="宋体" w:hAnsi="宋体" w:eastAsia="宋体" w:cs="宋体"/>
          <w:color w:val="333333"/>
          <w:sz w:val="19"/>
          <w:szCs w:val="19"/>
          <w:u w:val="none"/>
        </w:rPr>
        <w:br w:type="textWrapping"/>
      </w:r>
      <w:r>
        <w:rPr>
          <w:rFonts w:hint="eastAsia" w:ascii="宋体" w:hAnsi="宋体" w:eastAsia="宋体" w:cs="宋体"/>
          <w:color w:val="333333"/>
          <w:sz w:val="21"/>
          <w:szCs w:val="21"/>
          <w:u w:val="none"/>
        </w:rPr>
        <w:t>各省、自治区、直辖市及计划单列市科技厅（委、局），新疆生产建设兵团科技局：</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为深入贯彻落实党中央、国务院支持民营企业发展的重大决策部署，加快推动民营企业特别是各类中小企业走创新驱动发展道路，强化对科技型中小企业的政策引导与精准支持，科技部制订了《关于新时期支持科技型中小企业加快创新发展的若干政策措施》。现印发给你们，请结合实际，认真贯彻执行。</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sz w:val="21"/>
          <w:szCs w:val="21"/>
        </w:rPr>
      </w:pPr>
      <w:r>
        <w:rPr>
          <w:rFonts w:hint="eastAsia" w:ascii="宋体" w:hAnsi="宋体" w:eastAsia="宋体" w:cs="宋体"/>
          <w:color w:val="333333"/>
          <w:sz w:val="21"/>
          <w:szCs w:val="21"/>
          <w:u w:val="none"/>
        </w:rPr>
        <w:t>                     科 技 部 </w:t>
      </w:r>
      <w:r>
        <w:rPr>
          <w:rFonts w:hint="eastAsia" w:ascii="宋体" w:hAnsi="宋体" w:eastAsia="宋体" w:cs="宋体"/>
          <w:color w:val="333333"/>
          <w:sz w:val="21"/>
          <w:szCs w:val="21"/>
          <w:u w:val="none"/>
        </w:rPr>
        <w:br w:type="textWrapping"/>
      </w:r>
      <w:r>
        <w:rPr>
          <w:rFonts w:hint="eastAsia" w:ascii="宋体" w:hAnsi="宋体" w:eastAsia="宋体" w:cs="宋体"/>
          <w:color w:val="333333"/>
          <w:sz w:val="21"/>
          <w:szCs w:val="21"/>
          <w:u w:val="none"/>
        </w:rPr>
        <w:t>                     2019年8月5日 </w:t>
      </w:r>
    </w:p>
    <w:p>
      <w:pPr>
        <w:keepNext w:val="0"/>
        <w:keepLines w:val="0"/>
        <w:widowControl/>
        <w:suppressLineNumbers w:val="0"/>
        <w:spacing w:line="17" w:lineRule="atLeast"/>
        <w:jc w:val="left"/>
      </w:pPr>
      <w:r>
        <w:rPr>
          <w:rFonts w:hint="eastAsia" w:ascii="宋体" w:hAnsi="宋体" w:eastAsia="宋体" w:cs="宋体"/>
          <w:color w:val="333333"/>
          <w:sz w:val="19"/>
          <w:szCs w:val="19"/>
          <w:u w:val="none"/>
        </w:rPr>
        <w:br w:type="textWrapping"/>
      </w:r>
    </w:p>
    <w:p>
      <w:pPr>
        <w:pStyle w:val="20"/>
        <w:keepNext w:val="0"/>
        <w:keepLines w:val="0"/>
        <w:widowControl/>
        <w:suppressLineNumbers w:val="0"/>
        <w:spacing w:before="0" w:beforeAutospacing="0" w:after="0" w:afterAutospacing="0" w:line="17" w:lineRule="atLeast"/>
        <w:ind w:left="0" w:right="0"/>
        <w:jc w:val="center"/>
        <w:rPr>
          <w:sz w:val="28"/>
          <w:szCs w:val="28"/>
        </w:rPr>
      </w:pPr>
      <w:r>
        <w:rPr>
          <w:rStyle w:val="24"/>
          <w:rFonts w:hint="eastAsia" w:ascii="宋体" w:hAnsi="宋体" w:eastAsia="宋体" w:cs="宋体"/>
          <w:color w:val="333333"/>
          <w:sz w:val="28"/>
          <w:szCs w:val="28"/>
          <w:u w:val="none"/>
        </w:rPr>
        <w:t>关于新时期支持科技型中小企业加快创新发展的若干政策措施</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left"/>
        <w:textAlignment w:val="auto"/>
      </w:pPr>
      <w:r>
        <w:rPr>
          <w:rFonts w:hint="eastAsia" w:ascii="宋体" w:hAnsi="宋体" w:eastAsia="宋体" w:cs="宋体"/>
          <w:color w:val="333333"/>
          <w:sz w:val="19"/>
          <w:szCs w:val="19"/>
          <w:u w:val="none"/>
        </w:rPr>
        <w:t>　　科技型中小企业是培育发展新动能、推动高质量发展的重要力量，科技创新能力是企业打不垮的竞争力。为深入贯彻习近平总书记在民营企业座谈会上的重要讲话精神，切实落实中央办公厅、国务院办公厅《关于促进中小企业健康发展的指导意见》，加快推动民营企业特别是各类中小企业走创新驱动发展道路，增强技术创新能力与核心竞争力，现就支持科技型中小企业创新发展提出以下政策措施。</w:t>
      </w:r>
      <w:r>
        <w:rPr>
          <w:rFonts w:hint="eastAsia" w:ascii="宋体" w:hAnsi="宋体" w:eastAsia="宋体" w:cs="宋体"/>
          <w:color w:val="333333"/>
          <w:sz w:val="19"/>
          <w:szCs w:val="19"/>
          <w:u w:val="none"/>
        </w:rPr>
        <w:br w:type="textWrapping"/>
      </w:r>
      <w:r>
        <w:rPr>
          <w:rFonts w:hint="eastAsia" w:ascii="宋体" w:hAnsi="宋体" w:eastAsia="宋体" w:cs="宋体"/>
          <w:color w:val="333333"/>
          <w:sz w:val="19"/>
          <w:szCs w:val="19"/>
          <w:u w:val="none"/>
        </w:rPr>
        <w:t>　　</w:t>
      </w:r>
      <w:r>
        <w:rPr>
          <w:rStyle w:val="24"/>
          <w:rFonts w:hint="eastAsia" w:ascii="宋体" w:hAnsi="宋体" w:eastAsia="宋体" w:cs="宋体"/>
          <w:color w:val="333333"/>
          <w:sz w:val="19"/>
          <w:szCs w:val="19"/>
          <w:u w:val="none"/>
        </w:rPr>
        <w:t>一、总体思路</w:t>
      </w:r>
      <w:r>
        <w:rPr>
          <w:rStyle w:val="24"/>
          <w:rFonts w:hint="eastAsia" w:ascii="宋体" w:hAnsi="宋体" w:eastAsia="宋体" w:cs="宋体"/>
          <w:color w:val="333333"/>
          <w:sz w:val="19"/>
          <w:szCs w:val="19"/>
          <w:u w:val="none"/>
        </w:rPr>
        <w:br w:type="textWrapping"/>
      </w:r>
      <w:r>
        <w:rPr>
          <w:rFonts w:hint="eastAsia" w:ascii="宋体" w:hAnsi="宋体" w:eastAsia="宋体" w:cs="宋体"/>
          <w:color w:val="333333"/>
          <w:sz w:val="19"/>
          <w:szCs w:val="19"/>
          <w:u w:val="none"/>
        </w:rPr>
        <w:t>　　以习近平新时代中国特色社会主义思想为指导，全面贯彻党的十九大和十九届二中、三中全会精神，以培育壮大科技型中小企业主体规模、提升科技型中小企业创新能力为主要着力点，完善科技创新政策，加强创新服务供给，激发创新创业活力，引导科技型中小企业加大研发投入，完善技术创新体系，增强以科技创新为核心的企业竞争力，为推动高质量发展、支撑现代化经济体系建设发挥更加重要的作用。</w:t>
      </w:r>
      <w:r>
        <w:rPr>
          <w:rFonts w:hint="eastAsia" w:ascii="宋体" w:hAnsi="宋体" w:eastAsia="宋体" w:cs="宋体"/>
          <w:color w:val="333333"/>
          <w:sz w:val="19"/>
          <w:szCs w:val="19"/>
          <w:u w:val="none"/>
        </w:rPr>
        <w:br w:type="textWrapping"/>
      </w:r>
      <w:r>
        <w:rPr>
          <w:rFonts w:hint="eastAsia" w:ascii="宋体" w:hAnsi="宋体" w:eastAsia="宋体" w:cs="宋体"/>
          <w:color w:val="333333"/>
          <w:sz w:val="19"/>
          <w:szCs w:val="19"/>
          <w:u w:val="none"/>
        </w:rPr>
        <w:t>　</w:t>
      </w:r>
      <w:r>
        <w:rPr>
          <w:rStyle w:val="24"/>
          <w:rFonts w:hint="eastAsia" w:ascii="宋体" w:hAnsi="宋体" w:eastAsia="宋体" w:cs="宋体"/>
          <w:color w:val="333333"/>
          <w:sz w:val="19"/>
          <w:szCs w:val="19"/>
          <w:u w:val="none"/>
        </w:rPr>
        <w:t>　二、主要措施</w:t>
      </w:r>
      <w:r>
        <w:rPr>
          <w:rStyle w:val="24"/>
          <w:rFonts w:hint="eastAsia" w:ascii="宋体" w:hAnsi="宋体" w:eastAsia="宋体" w:cs="宋体"/>
          <w:color w:val="333333"/>
          <w:sz w:val="19"/>
          <w:szCs w:val="19"/>
          <w:u w:val="none"/>
        </w:rPr>
        <w:br w:type="textWrapping"/>
      </w:r>
      <w:r>
        <w:rPr>
          <w:rFonts w:hint="eastAsia" w:ascii="宋体" w:hAnsi="宋体" w:eastAsia="宋体" w:cs="宋体"/>
          <w:color w:val="333333"/>
          <w:sz w:val="19"/>
          <w:szCs w:val="19"/>
          <w:u w:val="none"/>
        </w:rPr>
        <w:t>　　（一）培育壮大科技型中小企业主体规模。</w:t>
      </w:r>
      <w:r>
        <w:rPr>
          <w:rFonts w:hint="eastAsia" w:ascii="宋体" w:hAnsi="宋体" w:eastAsia="宋体" w:cs="宋体"/>
          <w:color w:val="333333"/>
          <w:sz w:val="19"/>
          <w:szCs w:val="19"/>
          <w:u w:val="none"/>
        </w:rPr>
        <w:br w:type="textWrapping"/>
      </w:r>
      <w:r>
        <w:rPr>
          <w:rFonts w:hint="eastAsia" w:ascii="宋体" w:hAnsi="宋体" w:eastAsia="宋体" w:cs="宋体"/>
          <w:color w:val="333333"/>
          <w:sz w:val="19"/>
          <w:szCs w:val="19"/>
          <w:u w:val="none"/>
        </w:rPr>
        <w:t>　　</w:t>
      </w:r>
      <w:r>
        <w:rPr>
          <w:rStyle w:val="24"/>
          <w:rFonts w:hint="eastAsia" w:ascii="宋体" w:hAnsi="宋体" w:eastAsia="宋体" w:cs="宋体"/>
          <w:color w:val="333333"/>
          <w:sz w:val="19"/>
          <w:szCs w:val="19"/>
          <w:u w:val="none"/>
        </w:rPr>
        <w:t>1. 完善创新创业孵化体系建设。</w:t>
      </w:r>
      <w:r>
        <w:rPr>
          <w:rFonts w:hint="eastAsia" w:ascii="宋体" w:hAnsi="宋体" w:eastAsia="宋体" w:cs="宋体"/>
          <w:color w:val="333333"/>
          <w:sz w:val="19"/>
          <w:szCs w:val="19"/>
          <w:u w:val="none"/>
        </w:rPr>
        <w:t>加强专业化众创空间在重点地区和细分领域的梯次布局，推动专业化众创空间提升服务能力，在若干行业领域推动建立专业孵化器联盟，支撑科技型中小企业培育孵化。</w:t>
      </w:r>
      <w:r>
        <w:rPr>
          <w:rFonts w:hint="eastAsia" w:ascii="宋体" w:hAnsi="宋体" w:eastAsia="宋体" w:cs="宋体"/>
          <w:color w:val="333333"/>
          <w:sz w:val="19"/>
          <w:szCs w:val="19"/>
          <w:u w:val="none"/>
        </w:rPr>
        <w:br w:type="textWrapping"/>
      </w:r>
      <w:r>
        <w:rPr>
          <w:rFonts w:hint="eastAsia" w:ascii="宋体" w:hAnsi="宋体" w:eastAsia="宋体" w:cs="宋体"/>
          <w:color w:val="333333"/>
          <w:sz w:val="19"/>
          <w:szCs w:val="19"/>
          <w:u w:val="none"/>
        </w:rPr>
        <w:t>　　</w:t>
      </w:r>
      <w:r>
        <w:rPr>
          <w:rStyle w:val="24"/>
          <w:rFonts w:hint="eastAsia" w:ascii="宋体" w:hAnsi="宋体" w:eastAsia="宋体" w:cs="宋体"/>
          <w:color w:val="333333"/>
          <w:sz w:val="19"/>
          <w:szCs w:val="19"/>
          <w:u w:val="none"/>
        </w:rPr>
        <w:t>2. 鼓励科研人员创新创业。</w:t>
      </w:r>
      <w:r>
        <w:rPr>
          <w:rFonts w:hint="eastAsia" w:ascii="宋体" w:hAnsi="宋体" w:eastAsia="宋体" w:cs="宋体"/>
          <w:color w:val="333333"/>
          <w:sz w:val="19"/>
          <w:szCs w:val="19"/>
          <w:u w:val="none"/>
        </w:rPr>
        <w:t>推动出台支持科研人员离岗创业的实施细则，完善科研人员校企、院企共建双聘机制。支持持有外国人永久居留证的外籍高层次人才创办科技型企业，给予与中国籍公民同等待遇。</w:t>
      </w:r>
      <w:r>
        <w:rPr>
          <w:rFonts w:hint="eastAsia" w:ascii="宋体" w:hAnsi="宋体" w:eastAsia="宋体" w:cs="宋体"/>
          <w:color w:val="333333"/>
          <w:sz w:val="19"/>
          <w:szCs w:val="19"/>
          <w:u w:val="none"/>
        </w:rPr>
        <w:br w:type="textWrapping"/>
      </w:r>
      <w:r>
        <w:rPr>
          <w:rFonts w:hint="eastAsia" w:ascii="宋体" w:hAnsi="宋体" w:eastAsia="宋体" w:cs="宋体"/>
          <w:color w:val="333333"/>
          <w:sz w:val="19"/>
          <w:szCs w:val="19"/>
          <w:u w:val="none"/>
        </w:rPr>
        <w:t>　　</w:t>
      </w:r>
      <w:r>
        <w:rPr>
          <w:rStyle w:val="24"/>
          <w:rFonts w:hint="eastAsia" w:ascii="宋体" w:hAnsi="宋体" w:eastAsia="宋体" w:cs="宋体"/>
          <w:color w:val="333333"/>
          <w:sz w:val="19"/>
          <w:szCs w:val="19"/>
          <w:u w:val="none"/>
        </w:rPr>
        <w:t>3. 强化考核评估导向。</w:t>
      </w:r>
      <w:r>
        <w:rPr>
          <w:rFonts w:hint="eastAsia" w:ascii="宋体" w:hAnsi="宋体" w:eastAsia="宋体" w:cs="宋体"/>
          <w:color w:val="333333"/>
          <w:sz w:val="19"/>
          <w:szCs w:val="19"/>
          <w:u w:val="none"/>
        </w:rPr>
        <w:t>将科技型中小企业培育孵化情况列入国家高新区、国家自主创新示范区以及创新型省份、创新型城市、创新型县（市）等相关评价指标体系。完善科技型中小企业评价办法，扩大全国科技型中小企业数据库入库规模。</w:t>
      </w:r>
      <w:r>
        <w:rPr>
          <w:rFonts w:hint="eastAsia" w:ascii="宋体" w:hAnsi="宋体" w:eastAsia="宋体" w:cs="宋体"/>
          <w:color w:val="333333"/>
          <w:sz w:val="19"/>
          <w:szCs w:val="19"/>
          <w:u w:val="none"/>
        </w:rPr>
        <w:br w:type="textWrapping"/>
      </w:r>
      <w:r>
        <w:rPr>
          <w:rFonts w:hint="eastAsia" w:ascii="宋体" w:hAnsi="宋体" w:eastAsia="宋体" w:cs="宋体"/>
          <w:color w:val="333333"/>
          <w:sz w:val="19"/>
          <w:szCs w:val="19"/>
          <w:u w:val="none"/>
        </w:rPr>
        <w:t>　　（二）强化科技创新政策完善与落实。</w:t>
      </w:r>
      <w:r>
        <w:rPr>
          <w:rFonts w:hint="eastAsia" w:ascii="宋体" w:hAnsi="宋体" w:eastAsia="宋体" w:cs="宋体"/>
          <w:color w:val="333333"/>
          <w:sz w:val="19"/>
          <w:szCs w:val="19"/>
          <w:u w:val="none"/>
        </w:rPr>
        <w:br w:type="textWrapping"/>
      </w:r>
      <w:r>
        <w:rPr>
          <w:rFonts w:hint="eastAsia" w:ascii="宋体" w:hAnsi="宋体" w:eastAsia="宋体" w:cs="宋体"/>
          <w:color w:val="333333"/>
          <w:sz w:val="19"/>
          <w:szCs w:val="19"/>
          <w:u w:val="none"/>
        </w:rPr>
        <w:t>　</w:t>
      </w:r>
      <w:r>
        <w:rPr>
          <w:rStyle w:val="24"/>
          <w:rFonts w:hint="eastAsia" w:ascii="宋体" w:hAnsi="宋体" w:eastAsia="宋体" w:cs="宋体"/>
          <w:color w:val="333333"/>
          <w:sz w:val="19"/>
          <w:szCs w:val="19"/>
          <w:u w:val="none"/>
        </w:rPr>
        <w:t>　4. 加大政策激励力度。</w:t>
      </w:r>
      <w:r>
        <w:rPr>
          <w:rFonts w:hint="eastAsia" w:ascii="宋体" w:hAnsi="宋体" w:eastAsia="宋体" w:cs="宋体"/>
          <w:color w:val="333333"/>
          <w:sz w:val="19"/>
          <w:szCs w:val="19"/>
          <w:u w:val="none"/>
        </w:rPr>
        <w:t>推动研究制订提高科技型中小企业研发费用加计扣除比例、科技型初创企业普惠性税收减免等新的政策措施。</w:t>
      </w:r>
      <w:r>
        <w:rPr>
          <w:rFonts w:hint="eastAsia" w:ascii="宋体" w:hAnsi="宋体" w:eastAsia="宋体" w:cs="宋体"/>
          <w:color w:val="333333"/>
          <w:sz w:val="19"/>
          <w:szCs w:val="19"/>
          <w:u w:val="none"/>
        </w:rPr>
        <w:br w:type="textWrapping"/>
      </w:r>
      <w:r>
        <w:rPr>
          <w:rFonts w:hint="eastAsia" w:ascii="宋体" w:hAnsi="宋体" w:eastAsia="宋体" w:cs="宋体"/>
          <w:color w:val="333333"/>
          <w:sz w:val="19"/>
          <w:szCs w:val="19"/>
          <w:u w:val="none"/>
        </w:rPr>
        <w:t>　　</w:t>
      </w:r>
      <w:r>
        <w:rPr>
          <w:rStyle w:val="24"/>
          <w:rFonts w:hint="eastAsia" w:ascii="宋体" w:hAnsi="宋体" w:eastAsia="宋体" w:cs="宋体"/>
          <w:color w:val="333333"/>
          <w:sz w:val="19"/>
          <w:szCs w:val="19"/>
          <w:u w:val="none"/>
        </w:rPr>
        <w:t>5. 加强政策落实与宣讲。</w:t>
      </w:r>
      <w:r>
        <w:rPr>
          <w:rFonts w:hint="eastAsia" w:ascii="宋体" w:hAnsi="宋体" w:eastAsia="宋体" w:cs="宋体"/>
          <w:color w:val="333333"/>
          <w:sz w:val="19"/>
          <w:szCs w:val="19"/>
          <w:u w:val="none"/>
        </w:rPr>
        <w:t>进一步落实高新技术企业所得税减免、技术开发及技术转让增值税和所得税减免、小型微利企业免增值税和所得税减免等支持政策，推动降低执行门槛。加强现有政策宣传推广，在科技园区、众创空间、孵化器中开展面向科技型初创企业的重点政策解读。</w:t>
      </w:r>
      <w:r>
        <w:rPr>
          <w:rFonts w:hint="eastAsia" w:ascii="宋体" w:hAnsi="宋体" w:eastAsia="宋体" w:cs="宋体"/>
          <w:color w:val="333333"/>
          <w:sz w:val="19"/>
          <w:szCs w:val="19"/>
          <w:u w:val="none"/>
        </w:rPr>
        <w:br w:type="textWrapping"/>
      </w:r>
      <w:r>
        <w:rPr>
          <w:rFonts w:hint="eastAsia" w:ascii="宋体" w:hAnsi="宋体" w:eastAsia="宋体" w:cs="宋体"/>
          <w:color w:val="333333"/>
          <w:sz w:val="19"/>
          <w:szCs w:val="19"/>
          <w:u w:val="none"/>
        </w:rPr>
        <w:t>　　（三）加大对科技型中小企业研发活动的财政支持。</w:t>
      </w:r>
      <w:r>
        <w:rPr>
          <w:rFonts w:hint="eastAsia" w:ascii="宋体" w:hAnsi="宋体" w:eastAsia="宋体" w:cs="宋体"/>
          <w:color w:val="333333"/>
          <w:sz w:val="19"/>
          <w:szCs w:val="19"/>
          <w:u w:val="none"/>
        </w:rPr>
        <w:br w:type="textWrapping"/>
      </w:r>
      <w:r>
        <w:rPr>
          <w:rFonts w:hint="eastAsia" w:ascii="宋体" w:hAnsi="宋体" w:eastAsia="宋体" w:cs="宋体"/>
          <w:color w:val="333333"/>
          <w:sz w:val="19"/>
          <w:szCs w:val="19"/>
          <w:u w:val="none"/>
        </w:rPr>
        <w:t>　　</w:t>
      </w:r>
      <w:r>
        <w:rPr>
          <w:rStyle w:val="24"/>
          <w:rFonts w:hint="eastAsia" w:ascii="宋体" w:hAnsi="宋体" w:eastAsia="宋体" w:cs="宋体"/>
          <w:color w:val="333333"/>
          <w:sz w:val="19"/>
          <w:szCs w:val="19"/>
          <w:u w:val="none"/>
        </w:rPr>
        <w:t>6. 加大财政资金支持力度。</w:t>
      </w:r>
      <w:r>
        <w:rPr>
          <w:rFonts w:hint="eastAsia" w:ascii="宋体" w:hAnsi="宋体" w:eastAsia="宋体" w:cs="宋体"/>
          <w:color w:val="333333"/>
          <w:sz w:val="19"/>
          <w:szCs w:val="19"/>
          <w:u w:val="none"/>
        </w:rPr>
        <w:t>通过国家科技计划加大对中小企业科技创新的支持力度，调整完善科技计划立项、任务部署和组织管理方式，对中小企业研发活动给予直接支持。鼓励各级地方政府设立支持科技型中小企业技术研发的专项资金。</w:t>
      </w:r>
      <w:r>
        <w:rPr>
          <w:rFonts w:hint="eastAsia" w:ascii="宋体" w:hAnsi="宋体" w:eastAsia="宋体" w:cs="宋体"/>
          <w:color w:val="333333"/>
          <w:sz w:val="19"/>
          <w:szCs w:val="19"/>
          <w:u w:val="none"/>
        </w:rPr>
        <w:br w:type="textWrapping"/>
      </w:r>
      <w:r>
        <w:rPr>
          <w:rFonts w:hint="eastAsia" w:ascii="宋体" w:hAnsi="宋体" w:eastAsia="宋体" w:cs="宋体"/>
          <w:color w:val="333333"/>
          <w:sz w:val="19"/>
          <w:szCs w:val="19"/>
          <w:u w:val="none"/>
        </w:rPr>
        <w:t>　　</w:t>
      </w:r>
      <w:r>
        <w:rPr>
          <w:rStyle w:val="24"/>
          <w:rFonts w:hint="eastAsia" w:ascii="宋体" w:hAnsi="宋体" w:eastAsia="宋体" w:cs="宋体"/>
          <w:color w:val="333333"/>
          <w:sz w:val="19"/>
          <w:szCs w:val="19"/>
          <w:u w:val="none"/>
        </w:rPr>
        <w:t>7. 支持承担国家科技计划项目。</w:t>
      </w:r>
      <w:r>
        <w:rPr>
          <w:rFonts w:hint="eastAsia" w:ascii="宋体" w:hAnsi="宋体" w:eastAsia="宋体" w:cs="宋体"/>
          <w:color w:val="333333"/>
          <w:sz w:val="19"/>
          <w:szCs w:val="19"/>
          <w:u w:val="none"/>
        </w:rPr>
        <w:t>在国家重点研发计划、科技创新2030—重大项目等国家科技计划组织实施中，支持科技型中小企业广泛参与龙头骨干企业、高校、科研院所等牵头的项目，组建创新联合体“揭榜攻关”。对于任务体量和条件要求适宜的，鼓励科技型中小企业牵头申报。</w:t>
      </w:r>
      <w:r>
        <w:rPr>
          <w:rFonts w:hint="eastAsia" w:ascii="宋体" w:hAnsi="宋体" w:eastAsia="宋体" w:cs="宋体"/>
          <w:color w:val="333333"/>
          <w:sz w:val="19"/>
          <w:szCs w:val="19"/>
          <w:u w:val="none"/>
        </w:rPr>
        <w:br w:type="textWrapping"/>
      </w:r>
      <w:r>
        <w:rPr>
          <w:rFonts w:hint="eastAsia" w:ascii="宋体" w:hAnsi="宋体" w:eastAsia="宋体" w:cs="宋体"/>
          <w:color w:val="333333"/>
          <w:sz w:val="19"/>
          <w:szCs w:val="19"/>
          <w:u w:val="none"/>
        </w:rPr>
        <w:t>　　（四）引导创新资源向科技型中小企业集聚。</w:t>
      </w:r>
      <w:r>
        <w:rPr>
          <w:rFonts w:hint="eastAsia" w:ascii="宋体" w:hAnsi="宋体" w:eastAsia="宋体" w:cs="宋体"/>
          <w:color w:val="333333"/>
          <w:sz w:val="19"/>
          <w:szCs w:val="19"/>
          <w:u w:val="none"/>
        </w:rPr>
        <w:br w:type="textWrapping"/>
      </w:r>
      <w:r>
        <w:rPr>
          <w:rFonts w:hint="eastAsia" w:ascii="宋体" w:hAnsi="宋体" w:eastAsia="宋体" w:cs="宋体"/>
          <w:color w:val="333333"/>
          <w:sz w:val="19"/>
          <w:szCs w:val="19"/>
          <w:u w:val="none"/>
        </w:rPr>
        <w:t>　</w:t>
      </w:r>
      <w:r>
        <w:rPr>
          <w:rStyle w:val="24"/>
          <w:rFonts w:hint="eastAsia" w:ascii="宋体" w:hAnsi="宋体" w:eastAsia="宋体" w:cs="宋体"/>
          <w:color w:val="333333"/>
          <w:sz w:val="19"/>
          <w:szCs w:val="19"/>
          <w:u w:val="none"/>
        </w:rPr>
        <w:t>　8. 推动完善企业研发体系。</w:t>
      </w:r>
      <w:r>
        <w:rPr>
          <w:rFonts w:hint="eastAsia" w:ascii="宋体" w:hAnsi="宋体" w:eastAsia="宋体" w:cs="宋体"/>
          <w:color w:val="333333"/>
          <w:sz w:val="19"/>
          <w:szCs w:val="19"/>
          <w:u w:val="none"/>
        </w:rPr>
        <w:t>鼓励科技型中小企业制定企业科技创新战略，完善内部研发管理制度，推广应用创新方法。支持有条件的科技型中小企业建立内部研发平台、技术中心等，引进培育骨干创新团队，申请认定高新技术企业。支持有条件的科技型中小企业参与建设国家技术创新中心、企业国家重点实验室等。</w:t>
      </w:r>
      <w:r>
        <w:rPr>
          <w:rFonts w:hint="eastAsia" w:ascii="宋体" w:hAnsi="宋体" w:eastAsia="宋体" w:cs="宋体"/>
          <w:color w:val="333333"/>
          <w:sz w:val="19"/>
          <w:szCs w:val="19"/>
          <w:u w:val="none"/>
        </w:rPr>
        <w:br w:type="textWrapping"/>
      </w:r>
      <w:r>
        <w:rPr>
          <w:rFonts w:hint="eastAsia" w:ascii="宋体" w:hAnsi="宋体" w:eastAsia="宋体" w:cs="宋体"/>
          <w:color w:val="333333"/>
          <w:sz w:val="19"/>
          <w:szCs w:val="19"/>
          <w:u w:val="none"/>
        </w:rPr>
        <w:t>　　</w:t>
      </w:r>
      <w:r>
        <w:rPr>
          <w:rStyle w:val="24"/>
          <w:rFonts w:hint="eastAsia" w:ascii="宋体" w:hAnsi="宋体" w:eastAsia="宋体" w:cs="宋体"/>
          <w:color w:val="333333"/>
          <w:sz w:val="19"/>
          <w:szCs w:val="19"/>
          <w:u w:val="none"/>
        </w:rPr>
        <w:t>9. 鼓励开展产学研协同创新。</w:t>
      </w:r>
      <w:r>
        <w:rPr>
          <w:rFonts w:hint="eastAsia" w:ascii="宋体" w:hAnsi="宋体" w:eastAsia="宋体" w:cs="宋体"/>
          <w:color w:val="333333"/>
          <w:sz w:val="19"/>
          <w:szCs w:val="19"/>
          <w:u w:val="none"/>
        </w:rPr>
        <w:t>研究出台新时期强化产学研一体化创新的政策措施，引导科技型中小企业通过组建产业技术创新战略联盟、共设研发基金、共建实验室、研发众包等方式，共享创新资源、开展协同创新。</w:t>
      </w:r>
      <w:r>
        <w:rPr>
          <w:rFonts w:hint="eastAsia" w:ascii="宋体" w:hAnsi="宋体" w:eastAsia="宋体" w:cs="宋体"/>
          <w:color w:val="333333"/>
          <w:sz w:val="19"/>
          <w:szCs w:val="19"/>
          <w:u w:val="none"/>
        </w:rPr>
        <w:br w:type="textWrapping"/>
      </w:r>
      <w:r>
        <w:rPr>
          <w:rFonts w:hint="eastAsia" w:ascii="宋体" w:hAnsi="宋体" w:eastAsia="宋体" w:cs="宋体"/>
          <w:color w:val="333333"/>
          <w:sz w:val="19"/>
          <w:szCs w:val="19"/>
          <w:u w:val="none"/>
        </w:rPr>
        <w:t>　　</w:t>
      </w:r>
      <w:r>
        <w:rPr>
          <w:rStyle w:val="24"/>
          <w:rFonts w:hint="eastAsia" w:ascii="宋体" w:hAnsi="宋体" w:eastAsia="宋体" w:cs="宋体"/>
          <w:color w:val="333333"/>
          <w:sz w:val="19"/>
          <w:szCs w:val="19"/>
          <w:u w:val="none"/>
        </w:rPr>
        <w:t>10. 加大科技资源集聚共享。</w:t>
      </w:r>
      <w:r>
        <w:rPr>
          <w:rFonts w:hint="eastAsia" w:ascii="宋体" w:hAnsi="宋体" w:eastAsia="宋体" w:cs="宋体"/>
          <w:color w:val="333333"/>
          <w:sz w:val="19"/>
          <w:szCs w:val="19"/>
          <w:u w:val="none"/>
        </w:rPr>
        <w:t>支持国家高新区打造科技资源支撑型、高端人才引领型等特色载体，引导科技型中小企业集聚和开展专业化分工协作。推动科研机构、高等学校、大型企业搭建科技资源开放共享网络管理平台，促进科研仪器、实验设施等向科技型中小企业开放共享。</w:t>
      </w:r>
      <w:r>
        <w:rPr>
          <w:rFonts w:hint="eastAsia" w:ascii="宋体" w:hAnsi="宋体" w:eastAsia="宋体" w:cs="宋体"/>
          <w:color w:val="333333"/>
          <w:sz w:val="19"/>
          <w:szCs w:val="19"/>
          <w:u w:val="none"/>
        </w:rPr>
        <w:br w:type="textWrapping"/>
      </w:r>
      <w:r>
        <w:rPr>
          <w:rFonts w:hint="eastAsia" w:ascii="宋体" w:hAnsi="宋体" w:eastAsia="宋体" w:cs="宋体"/>
          <w:color w:val="333333"/>
          <w:sz w:val="19"/>
          <w:szCs w:val="19"/>
          <w:u w:val="none"/>
        </w:rPr>
        <w:t>　　（五）扩大面向科技型中小企业的创新服务供给。</w:t>
      </w:r>
      <w:r>
        <w:rPr>
          <w:rFonts w:hint="eastAsia" w:ascii="宋体" w:hAnsi="宋体" w:eastAsia="宋体" w:cs="宋体"/>
          <w:color w:val="333333"/>
          <w:sz w:val="19"/>
          <w:szCs w:val="19"/>
          <w:u w:val="none"/>
        </w:rPr>
        <w:br w:type="textWrapping"/>
      </w:r>
      <w:r>
        <w:rPr>
          <w:rFonts w:hint="eastAsia" w:ascii="宋体" w:hAnsi="宋体" w:eastAsia="宋体" w:cs="宋体"/>
          <w:color w:val="333333"/>
          <w:sz w:val="19"/>
          <w:szCs w:val="19"/>
          <w:u w:val="none"/>
        </w:rPr>
        <w:t>　　</w:t>
      </w:r>
      <w:r>
        <w:rPr>
          <w:rStyle w:val="24"/>
          <w:rFonts w:hint="eastAsia" w:ascii="宋体" w:hAnsi="宋体" w:eastAsia="宋体" w:cs="宋体"/>
          <w:color w:val="333333"/>
          <w:sz w:val="19"/>
          <w:szCs w:val="19"/>
          <w:u w:val="none"/>
        </w:rPr>
        <w:t>11. 推广科技创新券。</w:t>
      </w:r>
      <w:r>
        <w:rPr>
          <w:rFonts w:hint="eastAsia" w:ascii="宋体" w:hAnsi="宋体" w:eastAsia="宋体" w:cs="宋体"/>
          <w:color w:val="333333"/>
          <w:sz w:val="19"/>
          <w:szCs w:val="19"/>
          <w:u w:val="none"/>
        </w:rPr>
        <w:t>支持地方设立科技创新券专项资金，以政府购买公共服务方式对各类服务科技型中小企业的服务载体进行奖励或后补助。</w:t>
      </w:r>
      <w:r>
        <w:rPr>
          <w:rFonts w:hint="eastAsia" w:ascii="宋体" w:hAnsi="宋体" w:eastAsia="宋体" w:cs="宋体"/>
          <w:color w:val="333333"/>
          <w:sz w:val="19"/>
          <w:szCs w:val="19"/>
          <w:u w:val="none"/>
        </w:rPr>
        <w:br w:type="textWrapping"/>
      </w:r>
      <w:r>
        <w:rPr>
          <w:rFonts w:hint="eastAsia" w:ascii="宋体" w:hAnsi="宋体" w:eastAsia="宋体" w:cs="宋体"/>
          <w:color w:val="333333"/>
          <w:sz w:val="19"/>
          <w:szCs w:val="19"/>
          <w:u w:val="none"/>
        </w:rPr>
        <w:t>　　</w:t>
      </w:r>
      <w:r>
        <w:rPr>
          <w:rStyle w:val="24"/>
          <w:rFonts w:hint="eastAsia" w:ascii="宋体" w:hAnsi="宋体" w:eastAsia="宋体" w:cs="宋体"/>
          <w:color w:val="333333"/>
          <w:sz w:val="19"/>
          <w:szCs w:val="19"/>
          <w:u w:val="none"/>
        </w:rPr>
        <w:t>12. 加强科技服务机构培育建设。</w:t>
      </w:r>
      <w:r>
        <w:rPr>
          <w:rFonts w:hint="eastAsia" w:ascii="宋体" w:hAnsi="宋体" w:eastAsia="宋体" w:cs="宋体"/>
          <w:color w:val="333333"/>
          <w:sz w:val="19"/>
          <w:szCs w:val="19"/>
          <w:u w:val="none"/>
        </w:rPr>
        <w:t>制订出台促进新型研发机构发展的政策举措，开展新型研发机构培育建设试点，引导面向科技型中小企业创新需求开展成果转化与创新服务。在高等学校、科研院所培育建设一批专业化技术转移机构，为科技型中小企业吸纳科技成果提供专业化服务。</w:t>
      </w:r>
      <w:r>
        <w:rPr>
          <w:rFonts w:hint="eastAsia" w:ascii="宋体" w:hAnsi="宋体" w:eastAsia="宋体" w:cs="宋体"/>
          <w:color w:val="333333"/>
          <w:sz w:val="19"/>
          <w:szCs w:val="19"/>
          <w:u w:val="none"/>
        </w:rPr>
        <w:br w:type="textWrapping"/>
      </w:r>
      <w:r>
        <w:rPr>
          <w:rFonts w:hint="eastAsia" w:ascii="宋体" w:hAnsi="宋体" w:eastAsia="宋体" w:cs="宋体"/>
          <w:color w:val="333333"/>
          <w:sz w:val="19"/>
          <w:szCs w:val="19"/>
          <w:u w:val="none"/>
        </w:rPr>
        <w:t>　　</w:t>
      </w:r>
      <w:r>
        <w:rPr>
          <w:rStyle w:val="24"/>
          <w:rFonts w:hint="eastAsia" w:ascii="宋体" w:hAnsi="宋体" w:eastAsia="宋体" w:cs="宋体"/>
          <w:color w:val="333333"/>
          <w:sz w:val="19"/>
          <w:szCs w:val="19"/>
          <w:u w:val="none"/>
        </w:rPr>
        <w:t>13. 搭建特色服务载体。</w:t>
      </w:r>
      <w:r>
        <w:rPr>
          <w:rFonts w:hint="eastAsia" w:ascii="宋体" w:hAnsi="宋体" w:eastAsia="宋体" w:cs="宋体"/>
          <w:color w:val="333333"/>
          <w:sz w:val="19"/>
          <w:szCs w:val="19"/>
          <w:u w:val="none"/>
        </w:rPr>
        <w:t>建设全国科技型中小企业信息服务平台，举办科技型中小企业创新产品博览会，开展科技成果直通车，提供政策咨询、融资对接、技术转移、政府采购等综合服务。</w:t>
      </w:r>
      <w:r>
        <w:rPr>
          <w:rFonts w:hint="eastAsia" w:ascii="宋体" w:hAnsi="宋体" w:eastAsia="宋体" w:cs="宋体"/>
          <w:color w:val="333333"/>
          <w:sz w:val="19"/>
          <w:szCs w:val="19"/>
          <w:u w:val="none"/>
        </w:rPr>
        <w:br w:type="textWrapping"/>
      </w:r>
      <w:r>
        <w:rPr>
          <w:rFonts w:hint="eastAsia" w:ascii="宋体" w:hAnsi="宋体" w:eastAsia="宋体" w:cs="宋体"/>
          <w:color w:val="333333"/>
          <w:sz w:val="19"/>
          <w:szCs w:val="19"/>
          <w:u w:val="none"/>
        </w:rPr>
        <w:t>　　（六）加强金融资本市场对科技型中小企业的支持。</w:t>
      </w:r>
      <w:r>
        <w:rPr>
          <w:rFonts w:hint="eastAsia" w:ascii="宋体" w:hAnsi="宋体" w:eastAsia="宋体" w:cs="宋体"/>
          <w:color w:val="333333"/>
          <w:sz w:val="19"/>
          <w:szCs w:val="19"/>
          <w:u w:val="none"/>
        </w:rPr>
        <w:br w:type="textWrapping"/>
      </w:r>
      <w:r>
        <w:rPr>
          <w:rFonts w:hint="eastAsia" w:ascii="宋体" w:hAnsi="宋体" w:eastAsia="宋体" w:cs="宋体"/>
          <w:color w:val="333333"/>
          <w:sz w:val="19"/>
          <w:szCs w:val="19"/>
          <w:u w:val="none"/>
        </w:rPr>
        <w:t>　　</w:t>
      </w:r>
      <w:r>
        <w:rPr>
          <w:rStyle w:val="24"/>
          <w:rFonts w:hint="eastAsia" w:ascii="宋体" w:hAnsi="宋体" w:eastAsia="宋体" w:cs="宋体"/>
          <w:color w:val="333333"/>
          <w:sz w:val="19"/>
          <w:szCs w:val="19"/>
          <w:u w:val="none"/>
        </w:rPr>
        <w:t>14. 加强创业投资引导。</w:t>
      </w:r>
      <w:r>
        <w:rPr>
          <w:rFonts w:hint="eastAsia" w:ascii="宋体" w:hAnsi="宋体" w:eastAsia="宋体" w:cs="宋体"/>
          <w:color w:val="333333"/>
          <w:sz w:val="19"/>
          <w:szCs w:val="19"/>
          <w:u w:val="none"/>
        </w:rPr>
        <w:t>拓展国家科技成果转化引导基金功能，引导地方政府、社会资本成立专门投资科技型中小企业的“双创”基金，培育发展专注投资初创期科技型中小企业的天使投资。</w:t>
      </w:r>
      <w:r>
        <w:rPr>
          <w:rFonts w:hint="eastAsia" w:ascii="宋体" w:hAnsi="宋体" w:eastAsia="宋体" w:cs="宋体"/>
          <w:color w:val="333333"/>
          <w:sz w:val="19"/>
          <w:szCs w:val="19"/>
          <w:u w:val="none"/>
        </w:rPr>
        <w:br w:type="textWrapping"/>
      </w:r>
      <w:r>
        <w:rPr>
          <w:rFonts w:hint="eastAsia" w:ascii="宋体" w:hAnsi="宋体" w:eastAsia="宋体" w:cs="宋体"/>
          <w:color w:val="333333"/>
          <w:sz w:val="19"/>
          <w:szCs w:val="19"/>
          <w:u w:val="none"/>
        </w:rPr>
        <w:t>　　</w:t>
      </w:r>
      <w:r>
        <w:rPr>
          <w:rStyle w:val="24"/>
          <w:rFonts w:hint="eastAsia" w:ascii="宋体" w:hAnsi="宋体" w:eastAsia="宋体" w:cs="宋体"/>
          <w:color w:val="333333"/>
          <w:sz w:val="19"/>
          <w:szCs w:val="19"/>
          <w:u w:val="none"/>
        </w:rPr>
        <w:t>15. 拓展企业融资渠道。</w:t>
      </w:r>
      <w:r>
        <w:rPr>
          <w:rFonts w:hint="eastAsia" w:ascii="宋体" w:hAnsi="宋体" w:eastAsia="宋体" w:cs="宋体"/>
          <w:color w:val="333333"/>
          <w:sz w:val="19"/>
          <w:szCs w:val="19"/>
          <w:u w:val="none"/>
        </w:rPr>
        <w:t>开展贷款风险补偿试点，引导银行信贷支持转化科技成果的科技型中小企业。加强科技金融结合试点工作，加快推进投贷联动、知识产权质押、融资租赁等。实施“科技型中小企业成长路线图计划2.0”，为优质企业进入“新三板”、科创板上市融资提供便捷通道。</w:t>
      </w:r>
      <w:r>
        <w:rPr>
          <w:rFonts w:hint="eastAsia" w:ascii="宋体" w:hAnsi="宋体" w:eastAsia="宋体" w:cs="宋体"/>
          <w:color w:val="333333"/>
          <w:sz w:val="19"/>
          <w:szCs w:val="19"/>
          <w:u w:val="none"/>
        </w:rPr>
        <w:br w:type="textWrapping"/>
      </w:r>
      <w:r>
        <w:rPr>
          <w:rFonts w:hint="eastAsia" w:ascii="宋体" w:hAnsi="宋体" w:eastAsia="宋体" w:cs="宋体"/>
          <w:color w:val="333333"/>
          <w:sz w:val="19"/>
          <w:szCs w:val="19"/>
          <w:u w:val="none"/>
        </w:rPr>
        <w:t>　　（七）鼓励科技型中小企业开展国际科技合作。</w:t>
      </w:r>
      <w:r>
        <w:rPr>
          <w:rFonts w:hint="eastAsia" w:ascii="宋体" w:hAnsi="宋体" w:eastAsia="宋体" w:cs="宋体"/>
          <w:color w:val="333333"/>
          <w:sz w:val="19"/>
          <w:szCs w:val="19"/>
          <w:u w:val="none"/>
        </w:rPr>
        <w:br w:type="textWrapping"/>
      </w:r>
      <w:r>
        <w:rPr>
          <w:rFonts w:hint="eastAsia" w:ascii="宋体" w:hAnsi="宋体" w:eastAsia="宋体" w:cs="宋体"/>
          <w:color w:val="333333"/>
          <w:sz w:val="19"/>
          <w:szCs w:val="19"/>
          <w:u w:val="none"/>
        </w:rPr>
        <w:t>　　</w:t>
      </w:r>
      <w:r>
        <w:rPr>
          <w:rStyle w:val="24"/>
          <w:rFonts w:hint="eastAsia" w:ascii="宋体" w:hAnsi="宋体" w:eastAsia="宋体" w:cs="宋体"/>
          <w:color w:val="333333"/>
          <w:sz w:val="19"/>
          <w:szCs w:val="19"/>
          <w:u w:val="none"/>
        </w:rPr>
        <w:t>16. 强化“一带一路”合作交流。</w:t>
      </w:r>
      <w:r>
        <w:rPr>
          <w:rFonts w:hint="eastAsia" w:ascii="宋体" w:hAnsi="宋体" w:eastAsia="宋体" w:cs="宋体"/>
          <w:color w:val="333333"/>
          <w:sz w:val="19"/>
          <w:szCs w:val="19"/>
          <w:u w:val="none"/>
        </w:rPr>
        <w:t>探索开展“一带一路”产权交易与技术转移相关工作，为更多科技型中小企业与“一带一路”沿线国家开展科技合作营造良好的环境。</w:t>
      </w:r>
      <w:r>
        <w:rPr>
          <w:rFonts w:hint="eastAsia" w:ascii="宋体" w:hAnsi="宋体" w:eastAsia="宋体" w:cs="宋体"/>
          <w:color w:val="333333"/>
          <w:sz w:val="19"/>
          <w:szCs w:val="19"/>
          <w:u w:val="none"/>
        </w:rPr>
        <w:br w:type="textWrapping"/>
      </w:r>
      <w:r>
        <w:rPr>
          <w:rFonts w:hint="eastAsia" w:ascii="宋体" w:hAnsi="宋体" w:eastAsia="宋体" w:cs="宋体"/>
          <w:color w:val="333333"/>
          <w:sz w:val="19"/>
          <w:szCs w:val="19"/>
          <w:u w:val="none"/>
        </w:rPr>
        <w:t>　　</w:t>
      </w:r>
      <w:r>
        <w:rPr>
          <w:rStyle w:val="24"/>
          <w:rFonts w:hint="eastAsia" w:ascii="宋体" w:hAnsi="宋体" w:eastAsia="宋体" w:cs="宋体"/>
          <w:color w:val="333333"/>
          <w:sz w:val="19"/>
          <w:szCs w:val="19"/>
          <w:u w:val="none"/>
        </w:rPr>
        <w:t>17. 加强国际人才交流对接。</w:t>
      </w:r>
      <w:r>
        <w:rPr>
          <w:rFonts w:hint="eastAsia" w:ascii="宋体" w:hAnsi="宋体" w:eastAsia="宋体" w:cs="宋体"/>
          <w:color w:val="333333"/>
          <w:sz w:val="19"/>
          <w:szCs w:val="19"/>
          <w:u w:val="none"/>
        </w:rPr>
        <w:t>优先支持科技型中小企业参与“国际杰青计划”，帮助科技型中小企业与相关领域外国青年人才进行对接。支持科技型中小企业选派专业技术人才参加中长期出国（境）培训。</w:t>
      </w:r>
      <w:r>
        <w:rPr>
          <w:rFonts w:hint="eastAsia" w:ascii="宋体" w:hAnsi="宋体" w:eastAsia="宋体" w:cs="宋体"/>
          <w:color w:val="333333"/>
          <w:sz w:val="19"/>
          <w:szCs w:val="19"/>
          <w:u w:val="none"/>
        </w:rPr>
        <w:br w:type="textWrapping"/>
      </w:r>
      <w:r>
        <w:rPr>
          <w:rFonts w:hint="eastAsia" w:ascii="宋体" w:hAnsi="宋体" w:eastAsia="宋体" w:cs="宋体"/>
          <w:color w:val="333333"/>
          <w:sz w:val="19"/>
          <w:szCs w:val="19"/>
          <w:u w:val="none"/>
        </w:rPr>
        <w:t>　　</w:t>
      </w:r>
      <w:r>
        <w:rPr>
          <w:rStyle w:val="24"/>
          <w:rFonts w:hint="eastAsia" w:ascii="宋体" w:hAnsi="宋体" w:eastAsia="宋体" w:cs="宋体"/>
          <w:color w:val="333333"/>
          <w:sz w:val="19"/>
          <w:szCs w:val="19"/>
          <w:u w:val="none"/>
        </w:rPr>
        <w:t>三、组织实施</w:t>
      </w:r>
      <w:r>
        <w:rPr>
          <w:rFonts w:hint="eastAsia" w:ascii="宋体" w:hAnsi="宋体" w:eastAsia="宋体" w:cs="宋体"/>
          <w:color w:val="333333"/>
          <w:sz w:val="19"/>
          <w:szCs w:val="19"/>
          <w:u w:val="none"/>
        </w:rPr>
        <w:t xml:space="preserve"> </w:t>
      </w:r>
      <w:r>
        <w:rPr>
          <w:rFonts w:hint="eastAsia" w:ascii="宋体" w:hAnsi="宋体" w:eastAsia="宋体" w:cs="宋体"/>
          <w:color w:val="333333"/>
          <w:sz w:val="19"/>
          <w:szCs w:val="19"/>
          <w:u w:val="none"/>
        </w:rPr>
        <w:br w:type="textWrapping"/>
      </w:r>
      <w:r>
        <w:rPr>
          <w:rFonts w:hint="eastAsia" w:ascii="宋体" w:hAnsi="宋体" w:eastAsia="宋体" w:cs="宋体"/>
          <w:color w:val="333333"/>
          <w:sz w:val="19"/>
          <w:szCs w:val="19"/>
          <w:u w:val="none"/>
        </w:rPr>
        <w:t>　　（一）加强组织领导。科技部成立推进科技型中小企业创新发展工作小组，统筹推进有关工作。各级科技管理部门要牢固树立“创新不问出身、不分大小”理念，切实把营造良好创新创业环境作为转变政府职能、提升服务意识的根本要求，因地制宜制定出台相关支持政策，加大力度推动科技型中小企业创新发展。</w:t>
      </w:r>
      <w:r>
        <w:rPr>
          <w:rFonts w:hint="eastAsia" w:ascii="宋体" w:hAnsi="宋体" w:eastAsia="宋体" w:cs="宋体"/>
          <w:color w:val="333333"/>
          <w:sz w:val="19"/>
          <w:szCs w:val="19"/>
          <w:u w:val="none"/>
        </w:rPr>
        <w:br w:type="textWrapping"/>
      </w:r>
      <w:r>
        <w:rPr>
          <w:rFonts w:hint="eastAsia" w:ascii="宋体" w:hAnsi="宋体" w:eastAsia="宋体" w:cs="宋体"/>
          <w:color w:val="333333"/>
          <w:sz w:val="19"/>
          <w:szCs w:val="19"/>
          <w:u w:val="none"/>
        </w:rPr>
        <w:t>　　（二）强化任务落实。加强对各项任务的细化分解，明确责任分工和时间节点，以抓铁有痕的决心和久久为功的毅力，持续推动各项任务落实。适时开展政策落实情况评估，定期报告工作进展，确保各项任务落实到位。</w:t>
      </w:r>
      <w:r>
        <w:rPr>
          <w:rFonts w:hint="eastAsia" w:ascii="宋体" w:hAnsi="宋体" w:eastAsia="宋体" w:cs="宋体"/>
          <w:color w:val="333333"/>
          <w:sz w:val="19"/>
          <w:szCs w:val="19"/>
          <w:u w:val="none"/>
        </w:rPr>
        <w:br w:type="textWrapping"/>
      </w:r>
      <w:r>
        <w:rPr>
          <w:rFonts w:hint="eastAsia" w:ascii="宋体" w:hAnsi="宋体" w:eastAsia="宋体" w:cs="宋体"/>
          <w:color w:val="333333"/>
          <w:sz w:val="19"/>
          <w:szCs w:val="19"/>
          <w:u w:val="none"/>
        </w:rPr>
        <w:t>　　（三）开展总结宣传。结合国家创新调查工作，监测科技型中小企业发展情况，及时调整完善政策措施。总结科技型中小企业创新经验，加强对企业家精神和重大创新成果的宣传推广，引领和带动更多科技型中小企业实现创新发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367" w:firstLineChars="175"/>
        <w:jc w:val="left"/>
        <w:textAlignment w:val="auto"/>
        <w:outlineLvl w:val="1"/>
        <w:rPr>
          <w:rFonts w:hint="default"/>
          <w:i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367" w:firstLineChars="175"/>
        <w:jc w:val="left"/>
        <w:textAlignment w:val="auto"/>
        <w:outlineLvl w:val="1"/>
        <w:rPr>
          <w:rFonts w:hint="default"/>
          <w:i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367" w:firstLineChars="175"/>
        <w:jc w:val="left"/>
        <w:textAlignment w:val="auto"/>
        <w:outlineLvl w:val="1"/>
        <w:rPr>
          <w:rFonts w:hint="default"/>
          <w:i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367" w:firstLineChars="175"/>
        <w:jc w:val="left"/>
        <w:textAlignment w:val="auto"/>
        <w:outlineLvl w:val="1"/>
        <w:rPr>
          <w:rFonts w:hint="default"/>
          <w:i w:val="0"/>
          <w:caps w:val="0"/>
          <w:color w:val="333333"/>
          <w:spacing w:val="0"/>
          <w:sz w:val="21"/>
          <w:szCs w:val="21"/>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17" w:lineRule="atLeast"/>
        <w:jc w:val="center"/>
        <w:outlineLvl w:val="1"/>
        <w:rPr>
          <w:rFonts w:hint="eastAsia" w:ascii="宋体" w:hAnsi="宋体" w:eastAsia="宋体" w:cs="宋体"/>
          <w:b/>
          <w:color w:val="auto"/>
          <w:kern w:val="0"/>
          <w:sz w:val="30"/>
          <w:szCs w:val="30"/>
          <w:u w:val="none"/>
          <w:lang w:val="en-US" w:eastAsia="zh-CN" w:bidi="ar"/>
        </w:rPr>
      </w:pPr>
      <w:bookmarkStart w:id="231" w:name="_Toc14491"/>
      <w:bookmarkStart w:id="232" w:name="_Toc16170"/>
      <w:bookmarkStart w:id="233" w:name="_Toc60"/>
      <w:r>
        <w:rPr>
          <w:rFonts w:hint="eastAsia" w:ascii="宋体" w:hAnsi="宋体" w:eastAsia="宋体" w:cs="宋体"/>
          <w:b/>
          <w:color w:val="auto"/>
          <w:kern w:val="0"/>
          <w:sz w:val="30"/>
          <w:szCs w:val="30"/>
          <w:u w:val="none"/>
          <w:lang w:val="en-US" w:eastAsia="zh-CN" w:bidi="ar"/>
        </w:rPr>
        <w:t>中国银保监会 国家知识产权局 国家版权局</w:t>
      </w:r>
      <w:bookmarkEnd w:id="231"/>
      <w:bookmarkEnd w:id="232"/>
      <w:bookmarkEnd w:id="233"/>
    </w:p>
    <w:p>
      <w:pPr>
        <w:keepNext w:val="0"/>
        <w:keepLines w:val="0"/>
        <w:widowControl/>
        <w:suppressLineNumbers w:val="0"/>
        <w:pBdr>
          <w:top w:val="none" w:color="auto" w:sz="0" w:space="0"/>
          <w:left w:val="none" w:color="auto" w:sz="0" w:space="0"/>
          <w:bottom w:val="none" w:color="auto" w:sz="0" w:space="0"/>
          <w:right w:val="none" w:color="auto" w:sz="0" w:space="0"/>
        </w:pBdr>
        <w:spacing w:line="17" w:lineRule="atLeast"/>
        <w:jc w:val="center"/>
        <w:outlineLvl w:val="1"/>
        <w:rPr>
          <w:rFonts w:hint="eastAsia" w:ascii="宋体" w:hAnsi="宋体" w:eastAsia="宋体" w:cs="宋体"/>
          <w:b/>
          <w:color w:val="auto"/>
          <w:kern w:val="0"/>
          <w:sz w:val="30"/>
          <w:szCs w:val="30"/>
          <w:u w:val="none"/>
          <w:lang w:val="en-US" w:eastAsia="zh-CN" w:bidi="ar"/>
        </w:rPr>
      </w:pPr>
      <w:bookmarkStart w:id="234" w:name="_Toc8359"/>
      <w:bookmarkStart w:id="235" w:name="_Toc26267"/>
      <w:r>
        <w:rPr>
          <w:rFonts w:hint="eastAsia" w:ascii="宋体" w:hAnsi="宋体" w:eastAsia="宋体" w:cs="宋体"/>
          <w:b/>
          <w:color w:val="auto"/>
          <w:kern w:val="0"/>
          <w:sz w:val="30"/>
          <w:szCs w:val="30"/>
          <w:u w:val="none"/>
          <w:lang w:val="en-US" w:eastAsia="zh-CN" w:bidi="ar"/>
        </w:rPr>
        <w:t>关于进一步加强知识产权质押融资工作的通知</w:t>
      </w:r>
      <w:bookmarkEnd w:id="234"/>
      <w:bookmarkEnd w:id="235"/>
    </w:p>
    <w:p>
      <w:pPr>
        <w:pStyle w:val="20"/>
        <w:keepNext w:val="0"/>
        <w:keepLines w:val="0"/>
        <w:widowControl/>
        <w:suppressLineNumbers w:val="0"/>
        <w:spacing w:line="17" w:lineRule="atLeast"/>
        <w:jc w:val="center"/>
        <w:outlineLvl w:val="1"/>
        <w:rPr>
          <w:rFonts w:hint="eastAsia" w:ascii="楷体" w:hAnsi="楷体" w:eastAsia="楷体" w:cs="楷体"/>
          <w:color w:val="333333"/>
          <w:sz w:val="24"/>
          <w:szCs w:val="24"/>
          <w:u w:val="none"/>
        </w:rPr>
      </w:pPr>
      <w:bookmarkStart w:id="236" w:name="_Toc30571"/>
      <w:r>
        <w:rPr>
          <w:rFonts w:hint="eastAsia" w:ascii="楷体" w:hAnsi="楷体" w:eastAsia="楷体" w:cs="楷体"/>
          <w:color w:val="333333"/>
          <w:sz w:val="24"/>
          <w:szCs w:val="24"/>
          <w:u w:val="none"/>
          <w:lang w:val="en-US" w:eastAsia="zh-CN"/>
        </w:rPr>
        <w:t>银</w:t>
      </w:r>
      <w:r>
        <w:rPr>
          <w:rFonts w:hint="default" w:ascii="楷体" w:hAnsi="楷体" w:eastAsia="楷体" w:cs="楷体"/>
          <w:color w:val="333333"/>
          <w:sz w:val="24"/>
          <w:szCs w:val="24"/>
          <w:u w:val="none"/>
          <w:lang w:val="en-US" w:eastAsia="zh-CN"/>
        </w:rPr>
        <w:t>保监发〔2019〕34号</w:t>
      </w:r>
      <w:bookmarkEnd w:id="236"/>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各银保监局，各省、自治区、直辖市、新疆生产建设兵团、计划单列市知识产权局（知识产权管理部门）、版权局，各政策性银行、大型银行、股份制银行，邮储银行，外资银行，金融资产管理公司，各保险集团（控股）公司、保险公司、保险资产管理公司，其他会管经营类机构:</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为贯彻落实党中央、国务院关于知识产权工作的一系列重要部署，促进银行保险机构加大对知识产权运用的支持力度，扩大知识产权质押融资，现就有关事项通知如下：</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Style w:val="24"/>
          <w:rFonts w:hint="eastAsia" w:ascii="黑体" w:hAnsi="黑体" w:eastAsia="黑体" w:cs="黑体"/>
          <w:b w:val="0"/>
          <w:bCs w:val="0"/>
          <w:color w:val="333333"/>
          <w:kern w:val="0"/>
          <w:sz w:val="21"/>
          <w:szCs w:val="21"/>
          <w:u w:val="none"/>
          <w:lang w:val="en-US" w:eastAsia="zh-CN" w:bidi="ar-SA"/>
        </w:rPr>
      </w:pPr>
      <w:r>
        <w:rPr>
          <w:rStyle w:val="24"/>
          <w:rFonts w:hint="eastAsia" w:ascii="黑体" w:hAnsi="黑体" w:eastAsia="黑体" w:cs="黑体"/>
          <w:b w:val="0"/>
          <w:bCs w:val="0"/>
          <w:color w:val="333333"/>
          <w:kern w:val="0"/>
          <w:sz w:val="21"/>
          <w:szCs w:val="21"/>
          <w:u w:val="none"/>
          <w:lang w:val="en-US" w:eastAsia="zh-CN" w:bidi="ar-SA"/>
        </w:rPr>
        <w:t>一、优化知识产权质押融资服务体系</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一）银行保险机构、知识产权质权登记机构应当统一思想认识、保持战略定力，高度重视知识产权质押融资工作的重要性。鼓励银行保险机构积极开展知识产权质押融资业务，支持具有发展潜力的创新型（科技型）企业。</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（二）支持商业银行建立专门的知识产权质押融资管理制度。大型银行、股份制银行应当研究制定知识产权质押融资业务的支持政策，并指定专门部门负责知识产权质押融资工作。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（三）鼓励商业银行在风险可控的前提下，通过单列信贷计划、专项考核激励等方式支持知识产权质押融资业务发展，力争知识产权质押融资年累放贷款户数、年累放贷款金额逐年合理增长。</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四）支持商业银行建立适合知识产权质押融资特点的风险评估、授信审查、授信尽职和奖惩制度，创新信贷审批制度和利率定价机制。鼓励商业银行通过科技支行重点营销知识产权质押贷款等金融产品。鼓励商业银行积极探索知识产权金融业务发展模式，根据自身业务特色和经营优势，重点支持知识产权密集的创新型（科技型）企业的知识产权质押融资需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Style w:val="24"/>
          <w:rFonts w:hint="eastAsia" w:ascii="黑体" w:hAnsi="黑体" w:eastAsia="黑体" w:cs="黑体"/>
          <w:b w:val="0"/>
          <w:bCs w:val="0"/>
          <w:color w:val="333333"/>
          <w:kern w:val="0"/>
          <w:sz w:val="21"/>
          <w:szCs w:val="21"/>
          <w:u w:val="none"/>
          <w:lang w:val="en-US" w:eastAsia="zh-CN" w:bidi="ar-SA"/>
        </w:rPr>
      </w:pPr>
      <w:r>
        <w:rPr>
          <w:rStyle w:val="24"/>
          <w:rFonts w:hint="eastAsia" w:ascii="黑体" w:hAnsi="黑体" w:eastAsia="黑体" w:cs="黑体"/>
          <w:b w:val="0"/>
          <w:bCs w:val="0"/>
          <w:color w:val="333333"/>
          <w:kern w:val="0"/>
          <w:sz w:val="21"/>
          <w:szCs w:val="21"/>
          <w:u w:val="none"/>
          <w:lang w:val="en-US" w:eastAsia="zh-CN" w:bidi="ar-SA"/>
        </w:rPr>
        <w:t>二、加强知识产权质押融资服务创新</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五）鼓励商业银行对企业的专利权、商标专用权、著作权等相关无形资产进行打包组合融资，提升企业复合型价值，扩大融资额度。研究扩大知识产权质押物范围，积极探索地理标志、集成电路布图设计作为知识产权质押物的可行性，进一步拓宽企业融资渠道。</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六）鼓励商业银行建立对企业科技创新能力的评价体系，通过综合评估企业专利权、商标专用权、著作权等知识产权价值等方式，合理分析企业创新发展能力和品牌价值，通过知识产权质押融资业务把握企业发展方向。商业银行应当积极同相关部门合作，完善对创新型（科技型）企业的认定及评价机制。支持商业银行运用云计算、大数据、移动互联网等新技术研发知识产权质押融资新模式。鼓励商业银行在提供知识产权质押融资服务基础上，为企业提供综合金融服务。</w:t>
      </w:r>
    </w:p>
    <w:p>
      <w:pPr>
        <w:pStyle w:val="2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七）支持商业银行与知识产权密集型产业园区开展战略性合作，给予园区合理的意向性授信额度。鼓励商业银行加大对产业供应链中的创新型（科技型）小微企业的融资支持力度,促成小微企业知识产权质押“首贷”,进一步探索将小微企业纳入知识产权金融服务体系的有效途径。</w:t>
      </w:r>
    </w:p>
    <w:p>
      <w:pPr>
        <w:pStyle w:val="2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八）支持商业银行与投资基金等具备投资能力和条件的机构开展合作，积极支持拥有较高技术水平、良好市场前景的知识产权质押融资借款人。支持保险机构依法合规投资知识产权密集的创新型（科技型）小微企业，有效提升保险机构金融综合服务能力。</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Style w:val="24"/>
          <w:rFonts w:hint="eastAsia" w:ascii="黑体" w:hAnsi="黑体" w:eastAsia="黑体" w:cs="黑体"/>
          <w:b w:val="0"/>
          <w:bCs w:val="0"/>
          <w:color w:val="333333"/>
          <w:kern w:val="0"/>
          <w:sz w:val="21"/>
          <w:szCs w:val="21"/>
          <w:u w:val="none"/>
          <w:lang w:val="en-US" w:eastAsia="zh-CN" w:bidi="ar-SA"/>
        </w:rPr>
      </w:pPr>
      <w:r>
        <w:rPr>
          <w:rStyle w:val="24"/>
          <w:rFonts w:hint="eastAsia" w:ascii="黑体" w:hAnsi="黑体" w:eastAsia="黑体" w:cs="黑体"/>
          <w:b w:val="0"/>
          <w:bCs w:val="0"/>
          <w:color w:val="333333"/>
          <w:kern w:val="0"/>
          <w:sz w:val="21"/>
          <w:szCs w:val="21"/>
          <w:u w:val="none"/>
          <w:lang w:val="en-US" w:eastAsia="zh-CN" w:bidi="ar-SA"/>
        </w:rPr>
        <w:t>三、健全知识产权质押融资风险管理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（九）商业银行开展知识产权质押融资业务应当对出质人及质物进行调查，办理质权登记，加强对押品的动态管理，定期分析借款人经营情况，对可能产生风险的不利情形要及时采取措施。</w:t>
      </w:r>
    </w:p>
    <w:p>
      <w:pPr>
        <w:pStyle w:val="2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十）鼓励商业银行培养知识产权质押融资专门人才，建立知识产权资产评估机构库，加强对知识产权第三方资产评估机构的合作准入与持续管理。逐步建立和完善知识产权内部评估体系，加强内部风险评估、资产评估能力建设，探索开展内部评估。支持商业银行探索以协商估值、坏账分担为核心的中小微企业知识产权质押融资模式。</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十一）商业银行知识产权质押融资不良率高出自身各项贷款不良率3个百分点（含）以内的，可不作为监管部门监管评级和银行内部考核评价的扣分因素。商业银行应当进一步建立健全符合知识产权质押融资特点的内部尽职免责机制和科学的绩效考核机制。对经办人员在知识产权质押融资业务办理过程中已经尽职履责的，实行免责。</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（十二）鼓励保险机构在风险可控前提下，开展与知识产权质押融资相关的保证保险业务。鼓励保险机构开展知识产权被侵权损失保险、侵权责任保险等保险业务，为知识产权驱动创新发展提供保险服务。</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Style w:val="24"/>
          <w:rFonts w:hint="eastAsia" w:ascii="黑体" w:hAnsi="黑体" w:eastAsia="黑体" w:cs="黑体"/>
          <w:b w:val="0"/>
          <w:bCs w:val="0"/>
          <w:color w:val="333333"/>
          <w:kern w:val="0"/>
          <w:sz w:val="21"/>
          <w:szCs w:val="21"/>
          <w:u w:val="none"/>
          <w:lang w:val="en-US" w:eastAsia="zh-CN" w:bidi="ar-SA"/>
        </w:rPr>
      </w:pPr>
      <w:r>
        <w:rPr>
          <w:rStyle w:val="24"/>
          <w:rFonts w:hint="eastAsia" w:ascii="黑体" w:hAnsi="黑体" w:eastAsia="黑体" w:cs="黑体"/>
          <w:b w:val="0"/>
          <w:bCs w:val="0"/>
          <w:color w:val="333333"/>
          <w:kern w:val="0"/>
          <w:sz w:val="21"/>
          <w:szCs w:val="21"/>
          <w:u w:val="none"/>
          <w:lang w:val="en-US" w:eastAsia="zh-CN" w:bidi="ar-SA"/>
        </w:rPr>
        <w:t>四、完善知识产权质押融资保障工作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（十三）银行保险监督管理部门与知识产权管理部门、版权管理部门建立知识产权金融协同工作机制，加强信息数据共享，共同推动知识产权质押融资相关支持政策的制定和实施工作。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十四）各银保监局、地方知识产权管理部门、地方版权管理部门等应当加强对本地区知识产权金融工作的组织领导，制定和完善本地区知识产权金融工作的具体措施。各银保监局、地方知识产权管理部门、地方版权管理部门要与地方政府有关部门加强合作，推动建立和完善知识产权质押融资的风险分担和损失补偿机制，促进知识产权质押融资业务可持续发展。</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十五）各银保监局、地方知识产权管理部门、地方版权管理部门应当积极为商业银行与创新型（科技型）企业创造对接机会与平台。推动建立知识产权资产评估机构库、专家库和知识产权融资项目数据库，推进知识产权作价评估标准化,为商业银行开展知识产权质押融资创造良好条件。地方知识产权管理部门和地方版权管理部门应当加强对商业银行知识产权押品动态管理的专项服务，联合商业银行探索知识产权质物处置、流转的有效途径，充分发挥国家知识产权运营公共服务平台等各类知识产权交易平台作用，做好质物处置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十六）知识产权管理部门、版权管理部门推动建立统一的专利权、商标专用权、著作权质押登记公示信息平台，便于商业银行、社会公众等进行查询。对于商业银行行使质权获得的知识产权等，可按程序减免维持费用。知识产权质权登记机构应当不断优化知识产权质押登记流程，缩短登记时间。</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十七）商业银行应当加强知识产权质押融资业务的统计分析，定期向银行保险监督管理部门报送知识产权质押融资统计数据及相关工作情况。各级银行保险监督管理部门、知识产权管理部门、版权管理部门应当积极促进银行保险机构之间、银行保险机构与知识产权运营服务机构之间的交流，适时对辖内银行保险机构、知识产权运营服务机构开展知识产权质押融资业务情况进行评估，对业务开展良好的商业银行可按规定实施监管激励。</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（十八）鼓励商业银行以外的银行业金融机构以及经银保监会或银保监局批准设立的其他金融机构参照本通知的规定，积极开展知识产权质押融资业务，支持具有发展潜力的创新型（科技型）企业。</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（十九）各级银行保险监督管理部门、知识产权管理部门、版权管理部门要及时总结交流知识产权质押融资典型案例和良好经验；对于政策执行过程中出现的问题和困难，要加强研究，及时报告上级主管部门。</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中国银保监会</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国家知识产权局</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国家版权局</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                   2019年8月6日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367" w:firstLineChars="175"/>
        <w:jc w:val="left"/>
        <w:textAlignment w:val="auto"/>
        <w:outlineLvl w:val="1"/>
        <w:rPr>
          <w:rFonts w:hint="default"/>
          <w:i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367" w:firstLineChars="175"/>
        <w:jc w:val="left"/>
        <w:textAlignment w:val="auto"/>
        <w:outlineLvl w:val="1"/>
        <w:rPr>
          <w:rFonts w:hint="default"/>
          <w:i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367" w:firstLineChars="175"/>
        <w:jc w:val="left"/>
        <w:textAlignment w:val="auto"/>
        <w:outlineLvl w:val="1"/>
        <w:rPr>
          <w:rFonts w:hint="default"/>
          <w:i w:val="0"/>
          <w:caps w:val="0"/>
          <w:color w:val="333333"/>
          <w:spacing w:val="0"/>
          <w:sz w:val="21"/>
          <w:szCs w:val="21"/>
          <w:lang w:val="en-US" w:eastAsia="zh-CN"/>
        </w:rPr>
      </w:pPr>
    </w:p>
    <w:p>
      <w:pPr>
        <w:keepNext w:val="0"/>
        <w:keepLines w:val="0"/>
        <w:widowControl/>
        <w:suppressLineNumbers w:val="0"/>
        <w:spacing w:line="432" w:lineRule="auto"/>
        <w:jc w:val="center"/>
        <w:outlineLvl w:val="1"/>
        <w:rPr>
          <w:rFonts w:hint="eastAsia" w:ascii="Times New Roman" w:hAnsi="Times New Roman" w:eastAsia="宋体" w:cs="Times New Roman"/>
          <w:b/>
          <w:bCs/>
          <w:i w:val="0"/>
          <w:caps w:val="0"/>
          <w:color w:val="000000"/>
          <w:spacing w:val="0"/>
          <w:kern w:val="44"/>
          <w:sz w:val="28"/>
          <w:szCs w:val="28"/>
          <w:lang w:val="en-US" w:eastAsia="zh-CN" w:bidi="ar-SA"/>
        </w:rPr>
      </w:pPr>
      <w:bookmarkStart w:id="237" w:name="_Toc23269"/>
      <w:r>
        <w:rPr>
          <w:rFonts w:hint="eastAsia" w:ascii="Times New Roman" w:hAnsi="Times New Roman" w:eastAsia="宋体" w:cs="Times New Roman"/>
          <w:b/>
          <w:bCs/>
          <w:i w:val="0"/>
          <w:caps w:val="0"/>
          <w:color w:val="000000"/>
          <w:spacing w:val="0"/>
          <w:kern w:val="44"/>
          <w:sz w:val="28"/>
          <w:szCs w:val="28"/>
          <w:lang w:val="en-US" w:eastAsia="zh-CN" w:bidi="ar-SA"/>
        </w:rPr>
        <w:t>关于金融企业涉农贷款和中小企业贷款损失准备金税前扣除有关政策的公告</w:t>
      </w:r>
      <w:bookmarkEnd w:id="237"/>
      <w:r>
        <w:rPr>
          <w:rFonts w:hint="eastAsia" w:ascii="Times New Roman" w:hAnsi="Times New Roman" w:eastAsia="宋体" w:cs="Times New Roman"/>
          <w:b/>
          <w:bCs/>
          <w:i w:val="0"/>
          <w:caps w:val="0"/>
          <w:color w:val="000000"/>
          <w:spacing w:val="0"/>
          <w:kern w:val="44"/>
          <w:sz w:val="28"/>
          <w:szCs w:val="28"/>
          <w:lang w:val="en-US" w:eastAsia="zh-CN" w:bidi="ar-SA"/>
        </w:rPr>
        <w:t xml:space="preserve"> </w:t>
      </w:r>
    </w:p>
    <w:p>
      <w:pPr>
        <w:pStyle w:val="20"/>
        <w:keepNext w:val="0"/>
        <w:keepLines w:val="0"/>
        <w:widowControl/>
        <w:suppressLineNumbers w:val="0"/>
        <w:spacing w:line="17" w:lineRule="atLeast"/>
        <w:jc w:val="center"/>
        <w:outlineLvl w:val="1"/>
        <w:rPr>
          <w:rFonts w:hint="eastAsia" w:ascii="楷体" w:hAnsi="楷体" w:eastAsia="楷体" w:cs="楷体"/>
          <w:color w:val="333333"/>
          <w:sz w:val="24"/>
          <w:szCs w:val="24"/>
          <w:u w:val="none"/>
          <w:lang w:val="en-US" w:eastAsia="zh-CN"/>
        </w:rPr>
      </w:pPr>
      <w:bookmarkStart w:id="238" w:name="_Toc2474"/>
      <w:r>
        <w:rPr>
          <w:rFonts w:hint="eastAsia" w:ascii="楷体" w:hAnsi="楷体" w:eastAsia="楷体" w:cs="楷体"/>
          <w:color w:val="333333"/>
          <w:sz w:val="24"/>
          <w:szCs w:val="24"/>
          <w:u w:val="none"/>
          <w:lang w:val="en-US" w:eastAsia="zh-CN"/>
        </w:rPr>
        <w:t>财政部 税务总局公告2019年第85号</w:t>
      </w:r>
      <w:bookmarkEnd w:id="238"/>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left"/>
        <w:textAlignment w:val="auto"/>
        <w:outlineLvl w:val="1"/>
        <w:rPr>
          <w:rFonts w:hint="eastAsia" w:ascii="宋体" w:hAnsi="宋体" w:eastAsia="宋体" w:cs="宋体"/>
          <w:sz w:val="21"/>
          <w:szCs w:val="21"/>
        </w:rPr>
      </w:pPr>
      <w:r>
        <w:rPr>
          <w:rFonts w:hint="eastAsia" w:ascii="宋体" w:hAnsi="宋体" w:eastAsia="宋体" w:cs="宋体"/>
          <w:sz w:val="21"/>
          <w:szCs w:val="21"/>
        </w:rPr>
        <w:t>　　</w:t>
      </w:r>
      <w:bookmarkStart w:id="239" w:name="_Toc3103"/>
      <w:bookmarkStart w:id="240" w:name="_Toc24820"/>
      <w:r>
        <w:rPr>
          <w:rFonts w:hint="eastAsia" w:ascii="宋体" w:hAnsi="宋体" w:eastAsia="宋体" w:cs="宋体"/>
          <w:sz w:val="21"/>
          <w:szCs w:val="21"/>
        </w:rPr>
        <w:t>根据《中华人民共和国企业所得税法》及《中华人民共和国企业所得税法实施条例》的有关规定，现就金融企业涉农贷款和中小企业贷款损失准备金的企业所得税税前扣除政策公告如下：</w:t>
      </w:r>
      <w:bookmarkEnd w:id="239"/>
      <w:bookmarkEnd w:id="240"/>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一、金融企业根据《贷款风险分类指引》（银监发〔2007〕54号），对其涉农贷款和中小企业贷款进行风险分类后，按照以下比例计提的贷款损失准备金，准予在计算应纳税所得额时扣除：</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（一）关注类贷款，计提比例为2%；</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（二）次级类贷款，计提比例为25%；</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（三）可疑类贷款，计提比例为50%；</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（四）损失类贷款，计提比例为100%。</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二、本公告所称涉农贷款，是指《涉农贷款专项统计制度》（银发〔2007〕246号）统计的以下贷款：</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（一）农户贷款；</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（二）农村企业及各类组织贷款。</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本条所称农户贷款，是指金融企业发放给农户的所有贷款。农户贷款的判定应以贷款发放时的承贷主体是否属于农户为准。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本条所称农村企业及各类组织贷款，是指金融企业发放给注册地位于农村区域的企业及各类组织的所有贷款。农村区域，是指除地级及以上城市的城市行政区及其市辖建制镇之外的区域。</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三、本公告所称中小企业贷款，是指金融企业对年销售额和资产总额均不超过2亿元的企业的贷款。</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四、金融企业发生的符合条件的涉农贷款和中小企业贷款损失，应先冲减已在税前扣除的贷款损失准备金，不足冲减部分可据实在计算应纳税所得额时扣除。</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五、本公告自2019年1月1日起执行至2023年12月31日。</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特此公告。</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　　财　政　部　　税 务 总 局</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　　2019年8月23日</w:t>
      </w:r>
    </w:p>
    <w:p>
      <w:pPr>
        <w:jc w:val="center"/>
        <w:rPr>
          <w:rFonts w:hint="eastAsia" w:ascii="宋体" w:hAnsi="宋体" w:eastAsia="宋体" w:cs="宋体"/>
          <w:sz w:val="14"/>
          <w:szCs w:val="14"/>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367" w:firstLineChars="175"/>
        <w:jc w:val="left"/>
        <w:textAlignment w:val="auto"/>
        <w:outlineLvl w:val="1"/>
        <w:rPr>
          <w:rFonts w:hint="default"/>
          <w:i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367" w:firstLineChars="175"/>
        <w:jc w:val="left"/>
        <w:textAlignment w:val="auto"/>
        <w:outlineLvl w:val="1"/>
        <w:rPr>
          <w:rFonts w:hint="default"/>
          <w:i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367" w:firstLineChars="175"/>
        <w:jc w:val="left"/>
        <w:textAlignment w:val="auto"/>
        <w:outlineLvl w:val="1"/>
        <w:rPr>
          <w:rFonts w:hint="default"/>
          <w:i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367" w:firstLineChars="175"/>
        <w:jc w:val="left"/>
        <w:textAlignment w:val="auto"/>
        <w:outlineLvl w:val="1"/>
        <w:rPr>
          <w:rFonts w:hint="default"/>
          <w:i w:val="0"/>
          <w:caps w:val="0"/>
          <w:color w:val="333333"/>
          <w:spacing w:val="0"/>
          <w:sz w:val="21"/>
          <w:szCs w:val="21"/>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i w:val="0"/>
          <w:caps w:val="0"/>
          <w:color w:val="000000"/>
          <w:spacing w:val="0"/>
          <w:sz w:val="28"/>
          <w:szCs w:val="28"/>
        </w:rPr>
      </w:pPr>
      <w:bookmarkStart w:id="241" w:name="_Toc8886"/>
      <w:r>
        <w:rPr>
          <w:i w:val="0"/>
          <w:caps w:val="0"/>
          <w:color w:val="000000"/>
          <w:spacing w:val="0"/>
          <w:sz w:val="28"/>
          <w:szCs w:val="28"/>
        </w:rPr>
        <w:t>工业和信息化部办公厅关于请配合做好中小企业发展环境第三方试评估工作的通知</w:t>
      </w:r>
      <w:bookmarkEnd w:id="241"/>
    </w:p>
    <w:p>
      <w:pPr>
        <w:pStyle w:val="20"/>
        <w:keepNext w:val="0"/>
        <w:keepLines w:val="0"/>
        <w:widowControl/>
        <w:suppressLineNumbers w:val="0"/>
        <w:spacing w:line="17" w:lineRule="atLeast"/>
        <w:jc w:val="center"/>
        <w:outlineLvl w:val="1"/>
        <w:rPr>
          <w:rFonts w:hint="eastAsia" w:ascii="楷体" w:hAnsi="楷体" w:eastAsia="楷体" w:cs="楷体"/>
          <w:color w:val="333333"/>
          <w:sz w:val="24"/>
          <w:szCs w:val="24"/>
          <w:u w:val="none"/>
          <w:lang w:val="en-US" w:eastAsia="zh-CN"/>
        </w:rPr>
      </w:pPr>
      <w:bookmarkStart w:id="242" w:name="_Toc28473"/>
      <w:r>
        <w:rPr>
          <w:rFonts w:hint="eastAsia" w:ascii="楷体" w:hAnsi="楷体" w:eastAsia="楷体" w:cs="楷体"/>
          <w:color w:val="333333"/>
          <w:sz w:val="24"/>
          <w:szCs w:val="24"/>
          <w:u w:val="none"/>
          <w:lang w:val="en-US" w:eastAsia="zh-CN"/>
        </w:rPr>
        <w:t>工信厅企业函 ﹝2019﹞ 219号</w:t>
      </w:r>
      <w:bookmarkEnd w:id="242"/>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根据《中小企业促进法》及中共中央办公厅、国务院办公厅《关于促进中小企业健康发展的指导意见》有关部署，我部拟于近期委托第三方机构开展中小企业发展环境试评估工作。现将有关事项通知如下：</w:t>
      </w:r>
      <w:r>
        <w:rPr>
          <w:rStyle w:val="24"/>
          <w:rFonts w:hint="eastAsia" w:ascii="宋体" w:hAnsi="宋体" w:eastAsia="宋体" w:cs="宋体"/>
          <w:b w:val="0"/>
          <w:bCs w:val="0"/>
          <w:color w:val="333333"/>
          <w:kern w:val="0"/>
          <w:sz w:val="21"/>
          <w:szCs w:val="21"/>
          <w:u w:val="none"/>
          <w:lang w:val="en-US" w:eastAsia="zh-CN" w:bidi="ar-SA"/>
        </w:rPr>
        <w:br w:type="textWrapping"/>
      </w:r>
      <w:r>
        <w:rPr>
          <w:rStyle w:val="24"/>
          <w:rFonts w:hint="eastAsia" w:ascii="宋体" w:hAnsi="宋体" w:eastAsia="宋体" w:cs="宋体"/>
          <w:b w:val="0"/>
          <w:bCs w:val="0"/>
          <w:color w:val="333333"/>
          <w:kern w:val="0"/>
          <w:sz w:val="21"/>
          <w:szCs w:val="21"/>
          <w:u w:val="none"/>
          <w:lang w:val="en-US" w:eastAsia="zh-CN" w:bidi="ar-SA"/>
        </w:rPr>
        <w:t>  一、第三方评估组构成</w:t>
      </w:r>
      <w:r>
        <w:rPr>
          <w:rStyle w:val="24"/>
          <w:rFonts w:hint="eastAsia" w:ascii="宋体" w:hAnsi="宋体" w:eastAsia="宋体" w:cs="宋体"/>
          <w:b w:val="0"/>
          <w:bCs w:val="0"/>
          <w:color w:val="333333"/>
          <w:kern w:val="0"/>
          <w:sz w:val="21"/>
          <w:szCs w:val="21"/>
          <w:u w:val="none"/>
          <w:lang w:val="en-US" w:eastAsia="zh-CN" w:bidi="ar-SA"/>
        </w:rPr>
        <w:br w:type="textWrapping"/>
      </w:r>
      <w:r>
        <w:rPr>
          <w:rStyle w:val="24"/>
          <w:rFonts w:hint="eastAsia" w:ascii="宋体" w:hAnsi="宋体" w:eastAsia="宋体" w:cs="宋体"/>
          <w:b w:val="0"/>
          <w:bCs w:val="0"/>
          <w:color w:val="333333"/>
          <w:kern w:val="0"/>
          <w:sz w:val="21"/>
          <w:szCs w:val="21"/>
          <w:u w:val="none"/>
          <w:lang w:val="en-US" w:eastAsia="zh-CN" w:bidi="ar-SA"/>
        </w:rPr>
        <w:t>  本次试评估由中国中小企业发展促进中心会同中国电子信息产业发展研究院承担，国务院发展研究中心企业研究所提供业务指导。</w:t>
      </w:r>
      <w:r>
        <w:rPr>
          <w:rStyle w:val="24"/>
          <w:rFonts w:hint="eastAsia" w:ascii="宋体" w:hAnsi="宋体" w:eastAsia="宋体" w:cs="宋体"/>
          <w:b w:val="0"/>
          <w:bCs w:val="0"/>
          <w:color w:val="333333"/>
          <w:kern w:val="0"/>
          <w:sz w:val="21"/>
          <w:szCs w:val="21"/>
          <w:u w:val="none"/>
          <w:lang w:val="en-US" w:eastAsia="zh-CN" w:bidi="ar-SA"/>
        </w:rPr>
        <w:br w:type="textWrapping"/>
      </w:r>
      <w:r>
        <w:rPr>
          <w:rStyle w:val="24"/>
          <w:rFonts w:hint="eastAsia" w:ascii="宋体" w:hAnsi="宋体" w:eastAsia="宋体" w:cs="宋体"/>
          <w:b w:val="0"/>
          <w:bCs w:val="0"/>
          <w:color w:val="333333"/>
          <w:kern w:val="0"/>
          <w:sz w:val="21"/>
          <w:szCs w:val="21"/>
          <w:u w:val="none"/>
          <w:lang w:val="en-US" w:eastAsia="zh-CN" w:bidi="ar-SA"/>
        </w:rPr>
        <w:t>  二、试评估范围</w:t>
      </w:r>
      <w:r>
        <w:rPr>
          <w:rStyle w:val="24"/>
          <w:rFonts w:hint="eastAsia" w:ascii="宋体" w:hAnsi="宋体" w:eastAsia="宋体" w:cs="宋体"/>
          <w:b w:val="0"/>
          <w:bCs w:val="0"/>
          <w:color w:val="333333"/>
          <w:kern w:val="0"/>
          <w:sz w:val="21"/>
          <w:szCs w:val="21"/>
          <w:u w:val="none"/>
          <w:lang w:val="en-US" w:eastAsia="zh-CN" w:bidi="ar-SA"/>
        </w:rPr>
        <w:br w:type="textWrapping"/>
      </w:r>
      <w:r>
        <w:rPr>
          <w:rStyle w:val="24"/>
          <w:rFonts w:hint="default" w:ascii="宋体" w:hAnsi="宋体" w:eastAsia="宋体" w:cs="宋体"/>
          <w:b w:val="0"/>
          <w:bCs w:val="0"/>
          <w:color w:val="333333"/>
          <w:kern w:val="0"/>
          <w:sz w:val="21"/>
          <w:szCs w:val="21"/>
          <w:u w:val="none"/>
          <w:lang w:val="en-US" w:eastAsia="zh-CN" w:bidi="ar-SA"/>
        </w:rPr>
        <w:t>  </w:t>
      </w:r>
      <w:r>
        <w:rPr>
          <w:rStyle w:val="24"/>
          <w:rFonts w:hint="eastAsia" w:ascii="宋体" w:hAnsi="宋体" w:eastAsia="宋体" w:cs="宋体"/>
          <w:b w:val="0"/>
          <w:bCs w:val="0"/>
          <w:color w:val="333333"/>
          <w:kern w:val="0"/>
          <w:sz w:val="21"/>
          <w:szCs w:val="21"/>
          <w:u w:val="none"/>
          <w:lang w:val="en-US" w:eastAsia="zh-CN" w:bidi="ar-SA"/>
        </w:rPr>
        <w:t>本次试评估以地级市（区）为单位开展，各地选取省会（首府）城市，直辖市选取财政部“双创示范”资金支持区（包括北京昌平、上海浦东、天津滨海、重庆九龙坡），共计</w:t>
      </w:r>
      <w:r>
        <w:rPr>
          <w:rStyle w:val="24"/>
          <w:rFonts w:hint="default" w:ascii="宋体" w:hAnsi="宋体" w:eastAsia="宋体" w:cs="宋体"/>
          <w:b w:val="0"/>
          <w:bCs w:val="0"/>
          <w:color w:val="333333"/>
          <w:kern w:val="0"/>
          <w:sz w:val="21"/>
          <w:szCs w:val="21"/>
          <w:u w:val="none"/>
          <w:lang w:val="en-US" w:eastAsia="zh-CN" w:bidi="ar-SA"/>
        </w:rPr>
        <w:t>31</w:t>
      </w:r>
      <w:r>
        <w:rPr>
          <w:rStyle w:val="24"/>
          <w:rFonts w:hint="eastAsia" w:ascii="宋体" w:hAnsi="宋体" w:eastAsia="宋体" w:cs="宋体"/>
          <w:b w:val="0"/>
          <w:bCs w:val="0"/>
          <w:color w:val="333333"/>
          <w:kern w:val="0"/>
          <w:sz w:val="21"/>
          <w:szCs w:val="21"/>
          <w:u w:val="none"/>
          <w:lang w:val="en-US" w:eastAsia="zh-CN" w:bidi="ar-SA"/>
        </w:rPr>
        <w:t>个城市（区）作为参评对象。</w:t>
      </w:r>
      <w:r>
        <w:rPr>
          <w:rStyle w:val="24"/>
          <w:rFonts w:hint="eastAsia" w:ascii="宋体" w:hAnsi="宋体" w:eastAsia="宋体" w:cs="宋体"/>
          <w:b w:val="0"/>
          <w:bCs w:val="0"/>
          <w:color w:val="333333"/>
          <w:kern w:val="0"/>
          <w:sz w:val="21"/>
          <w:szCs w:val="21"/>
          <w:u w:val="none"/>
          <w:lang w:val="en-US" w:eastAsia="zh-CN" w:bidi="ar-SA"/>
        </w:rPr>
        <w:br w:type="textWrapping"/>
      </w:r>
      <w:r>
        <w:rPr>
          <w:rStyle w:val="24"/>
          <w:rFonts w:hint="eastAsia" w:ascii="宋体" w:hAnsi="宋体" w:eastAsia="宋体" w:cs="宋体"/>
          <w:b w:val="0"/>
          <w:bCs w:val="0"/>
          <w:color w:val="333333"/>
          <w:kern w:val="0"/>
          <w:sz w:val="21"/>
          <w:szCs w:val="21"/>
          <w:u w:val="none"/>
          <w:lang w:val="en-US" w:eastAsia="zh-CN" w:bidi="ar-SA"/>
        </w:rPr>
        <w:t>  三、评估有关安排</w:t>
      </w:r>
      <w:r>
        <w:rPr>
          <w:rStyle w:val="24"/>
          <w:rFonts w:hint="eastAsia" w:ascii="宋体" w:hAnsi="宋体" w:eastAsia="宋体" w:cs="宋体"/>
          <w:b w:val="0"/>
          <w:bCs w:val="0"/>
          <w:color w:val="333333"/>
          <w:kern w:val="0"/>
          <w:sz w:val="21"/>
          <w:szCs w:val="21"/>
          <w:u w:val="none"/>
          <w:lang w:val="en-US" w:eastAsia="zh-CN" w:bidi="ar-SA"/>
        </w:rPr>
        <w:br w:type="textWrapping"/>
      </w:r>
      <w:r>
        <w:rPr>
          <w:rStyle w:val="24"/>
          <w:rFonts w:hint="eastAsia" w:ascii="宋体" w:hAnsi="宋体" w:eastAsia="宋体" w:cs="宋体"/>
          <w:b w:val="0"/>
          <w:bCs w:val="0"/>
          <w:color w:val="333333"/>
          <w:kern w:val="0"/>
          <w:sz w:val="21"/>
          <w:szCs w:val="21"/>
          <w:u w:val="none"/>
          <w:lang w:val="en-US" w:eastAsia="zh-CN" w:bidi="ar-SA"/>
        </w:rPr>
        <w:t>  各地要充分发挥本地区促进中小企业发展工作协调机制作用，指导被评估城市（区）配合第三方评估组完成好相关评估工作。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（一）组织政府各相关部门按照要求，真实准确填报《中小企业发展环境试评估调查表》，加盖市（区）级中小企业主管部门公章后，与相关证明材料装订成册，于</w:t>
      </w:r>
      <w:r>
        <w:rPr>
          <w:rStyle w:val="24"/>
          <w:rFonts w:hint="default" w:ascii="宋体" w:hAnsi="宋体" w:eastAsia="宋体" w:cs="宋体"/>
          <w:b w:val="0"/>
          <w:bCs w:val="0"/>
          <w:color w:val="333333"/>
          <w:kern w:val="0"/>
          <w:sz w:val="21"/>
          <w:szCs w:val="21"/>
          <w:u w:val="none"/>
          <w:lang w:val="en-US" w:eastAsia="zh-CN" w:bidi="ar-SA"/>
        </w:rPr>
        <w:t>2019</w:t>
      </w:r>
      <w:r>
        <w:rPr>
          <w:rStyle w:val="24"/>
          <w:rFonts w:hint="eastAsia" w:ascii="宋体" w:hAnsi="宋体" w:eastAsia="宋体" w:cs="宋体"/>
          <w:b w:val="0"/>
          <w:bCs w:val="0"/>
          <w:color w:val="333333"/>
          <w:kern w:val="0"/>
          <w:sz w:val="21"/>
          <w:szCs w:val="21"/>
          <w:u w:val="none"/>
          <w:lang w:val="en-US" w:eastAsia="zh-CN" w:bidi="ar-SA"/>
        </w:rPr>
        <w:t>年</w:t>
      </w:r>
      <w:r>
        <w:rPr>
          <w:rStyle w:val="24"/>
          <w:rFonts w:hint="default" w:ascii="宋体" w:hAnsi="宋体" w:eastAsia="宋体" w:cs="宋体"/>
          <w:b w:val="0"/>
          <w:bCs w:val="0"/>
          <w:color w:val="333333"/>
          <w:kern w:val="0"/>
          <w:sz w:val="21"/>
          <w:szCs w:val="21"/>
          <w:u w:val="none"/>
          <w:lang w:val="en-US" w:eastAsia="zh-CN" w:bidi="ar-SA"/>
        </w:rPr>
        <w:t>10</w:t>
      </w:r>
      <w:r>
        <w:rPr>
          <w:rStyle w:val="24"/>
          <w:rFonts w:hint="eastAsia" w:ascii="宋体" w:hAnsi="宋体" w:eastAsia="宋体" w:cs="宋体"/>
          <w:b w:val="0"/>
          <w:bCs w:val="0"/>
          <w:color w:val="333333"/>
          <w:kern w:val="0"/>
          <w:sz w:val="21"/>
          <w:szCs w:val="21"/>
          <w:u w:val="none"/>
          <w:lang w:val="en-US" w:eastAsia="zh-CN" w:bidi="ar-SA"/>
        </w:rPr>
        <w:t>月</w:t>
      </w:r>
      <w:r>
        <w:rPr>
          <w:rStyle w:val="24"/>
          <w:rFonts w:hint="default" w:ascii="宋体" w:hAnsi="宋体" w:eastAsia="宋体" w:cs="宋体"/>
          <w:b w:val="0"/>
          <w:bCs w:val="0"/>
          <w:color w:val="333333"/>
          <w:kern w:val="0"/>
          <w:sz w:val="21"/>
          <w:szCs w:val="21"/>
          <w:u w:val="none"/>
          <w:lang w:val="en-US" w:eastAsia="zh-CN" w:bidi="ar-SA"/>
        </w:rPr>
        <w:t>31</w:t>
      </w:r>
      <w:r>
        <w:rPr>
          <w:rStyle w:val="24"/>
          <w:rFonts w:hint="eastAsia" w:ascii="宋体" w:hAnsi="宋体" w:eastAsia="宋体" w:cs="宋体"/>
          <w:b w:val="0"/>
          <w:bCs w:val="0"/>
          <w:color w:val="333333"/>
          <w:kern w:val="0"/>
          <w:sz w:val="21"/>
          <w:szCs w:val="21"/>
          <w:u w:val="none"/>
          <w:lang w:val="en-US" w:eastAsia="zh-CN" w:bidi="ar-SA"/>
        </w:rPr>
        <w:t>日前寄送至：北京市海淀区西直门北大街</w:t>
      </w:r>
      <w:r>
        <w:rPr>
          <w:rStyle w:val="24"/>
          <w:rFonts w:hint="default" w:ascii="宋体" w:hAnsi="宋体" w:eastAsia="宋体" w:cs="宋体"/>
          <w:b w:val="0"/>
          <w:bCs w:val="0"/>
          <w:color w:val="333333"/>
          <w:kern w:val="0"/>
          <w:sz w:val="21"/>
          <w:szCs w:val="21"/>
          <w:u w:val="none"/>
          <w:lang w:val="en-US" w:eastAsia="zh-CN" w:bidi="ar-SA"/>
        </w:rPr>
        <w:t>32</w:t>
      </w:r>
      <w:r>
        <w:rPr>
          <w:rStyle w:val="24"/>
          <w:rFonts w:hint="eastAsia" w:ascii="宋体" w:hAnsi="宋体" w:eastAsia="宋体" w:cs="宋体"/>
          <w:b w:val="0"/>
          <w:bCs w:val="0"/>
          <w:color w:val="333333"/>
          <w:kern w:val="0"/>
          <w:sz w:val="21"/>
          <w:szCs w:val="21"/>
          <w:u w:val="none"/>
          <w:lang w:val="en-US" w:eastAsia="zh-CN" w:bidi="ar-SA"/>
        </w:rPr>
        <w:t>号枫蓝国际A座</w:t>
      </w:r>
      <w:r>
        <w:rPr>
          <w:rStyle w:val="24"/>
          <w:rFonts w:hint="default" w:ascii="宋体" w:hAnsi="宋体" w:eastAsia="宋体" w:cs="宋体"/>
          <w:b w:val="0"/>
          <w:bCs w:val="0"/>
          <w:color w:val="333333"/>
          <w:kern w:val="0"/>
          <w:sz w:val="21"/>
          <w:szCs w:val="21"/>
          <w:u w:val="none"/>
          <w:lang w:val="en-US" w:eastAsia="zh-CN" w:bidi="ar-SA"/>
        </w:rPr>
        <w:t>1205</w:t>
      </w:r>
      <w:r>
        <w:rPr>
          <w:rStyle w:val="24"/>
          <w:rFonts w:hint="eastAsia" w:ascii="宋体" w:hAnsi="宋体" w:eastAsia="宋体" w:cs="宋体"/>
          <w:b w:val="0"/>
          <w:bCs w:val="0"/>
          <w:color w:val="333333"/>
          <w:kern w:val="0"/>
          <w:sz w:val="21"/>
          <w:szCs w:val="21"/>
          <w:u w:val="none"/>
          <w:lang w:val="en-US" w:eastAsia="zh-CN" w:bidi="ar-SA"/>
        </w:rPr>
        <w:t>C鞠宁（收）；电子版（含扫描件）同步发送至邮箱</w:t>
      </w:r>
      <w:r>
        <w:rPr>
          <w:rStyle w:val="24"/>
          <w:rFonts w:hint="eastAsia" w:ascii="宋体" w:hAnsi="宋体" w:eastAsia="宋体" w:cs="宋体"/>
          <w:b w:val="0"/>
          <w:bCs w:val="0"/>
          <w:color w:val="333333"/>
          <w:kern w:val="0"/>
          <w:sz w:val="21"/>
          <w:szCs w:val="21"/>
          <w:u w:val="none"/>
          <w:lang w:val="en-US" w:eastAsia="zh-CN" w:bidi="ar-SA"/>
        </w:rPr>
        <w:fldChar w:fldCharType="begin"/>
      </w:r>
      <w:r>
        <w:rPr>
          <w:rStyle w:val="24"/>
          <w:rFonts w:hint="eastAsia" w:ascii="宋体" w:hAnsi="宋体" w:eastAsia="宋体" w:cs="宋体"/>
          <w:b w:val="0"/>
          <w:bCs w:val="0"/>
          <w:color w:val="333333"/>
          <w:kern w:val="0"/>
          <w:sz w:val="21"/>
          <w:szCs w:val="21"/>
          <w:u w:val="none"/>
          <w:lang w:val="en-US" w:eastAsia="zh-CN" w:bidi="ar-SA"/>
        </w:rPr>
        <w:instrText xml:space="preserve"> HYPERLINK "mailto:smefzhjpg@163.com" </w:instrText>
      </w:r>
      <w:r>
        <w:rPr>
          <w:rStyle w:val="24"/>
          <w:rFonts w:hint="eastAsia" w:ascii="宋体" w:hAnsi="宋体" w:eastAsia="宋体" w:cs="宋体"/>
          <w:b w:val="0"/>
          <w:bCs w:val="0"/>
          <w:color w:val="333333"/>
          <w:kern w:val="0"/>
          <w:sz w:val="21"/>
          <w:szCs w:val="21"/>
          <w:u w:val="none"/>
          <w:lang w:val="en-US" w:eastAsia="zh-CN" w:bidi="ar-SA"/>
        </w:rPr>
        <w:fldChar w:fldCharType="separate"/>
      </w:r>
      <w:r>
        <w:rPr>
          <w:rStyle w:val="24"/>
          <w:rFonts w:hint="eastAsia" w:ascii="宋体" w:hAnsi="宋体" w:eastAsia="宋体" w:cs="宋体"/>
          <w:b w:val="0"/>
          <w:bCs w:val="0"/>
          <w:color w:val="333333"/>
          <w:kern w:val="0"/>
          <w:sz w:val="21"/>
          <w:szCs w:val="21"/>
          <w:u w:val="none"/>
          <w:lang w:val="en-US" w:eastAsia="zh-CN" w:bidi="ar-SA"/>
        </w:rPr>
        <w:t>smefzhjpg@</w:t>
      </w:r>
      <w:r>
        <w:rPr>
          <w:rStyle w:val="24"/>
          <w:rFonts w:hint="default" w:ascii="宋体" w:hAnsi="宋体" w:eastAsia="宋体" w:cs="宋体"/>
          <w:b w:val="0"/>
          <w:bCs w:val="0"/>
          <w:color w:val="333333"/>
          <w:kern w:val="0"/>
          <w:sz w:val="21"/>
          <w:szCs w:val="21"/>
          <w:u w:val="none"/>
          <w:lang w:val="en-US" w:eastAsia="zh-CN" w:bidi="ar-SA"/>
        </w:rPr>
        <w:t>163</w:t>
      </w:r>
      <w:r>
        <w:rPr>
          <w:rStyle w:val="24"/>
          <w:rFonts w:hint="eastAsia" w:ascii="宋体" w:hAnsi="宋体" w:eastAsia="宋体" w:cs="宋体"/>
          <w:b w:val="0"/>
          <w:bCs w:val="0"/>
          <w:color w:val="333333"/>
          <w:kern w:val="0"/>
          <w:sz w:val="21"/>
          <w:szCs w:val="21"/>
          <w:u w:val="none"/>
          <w:lang w:val="en-US" w:eastAsia="zh-CN" w:bidi="ar-SA"/>
        </w:rPr>
        <w:t>.com</w:t>
      </w:r>
      <w:r>
        <w:rPr>
          <w:rStyle w:val="24"/>
          <w:rFonts w:hint="eastAsia" w:ascii="宋体" w:hAnsi="宋体" w:eastAsia="宋体" w:cs="宋体"/>
          <w:b w:val="0"/>
          <w:bCs w:val="0"/>
          <w:color w:val="333333"/>
          <w:kern w:val="0"/>
          <w:sz w:val="21"/>
          <w:szCs w:val="21"/>
          <w:u w:val="none"/>
          <w:lang w:val="en-US" w:eastAsia="zh-CN" w:bidi="ar-SA"/>
        </w:rPr>
        <w:fldChar w:fldCharType="end"/>
      </w:r>
      <w:r>
        <w:rPr>
          <w:rStyle w:val="24"/>
          <w:rFonts w:hint="eastAsia" w:ascii="宋体" w:hAnsi="宋体" w:eastAsia="宋体" w:cs="宋体"/>
          <w:b w:val="0"/>
          <w:bCs w:val="0"/>
          <w:color w:val="333333"/>
          <w:kern w:val="0"/>
          <w:sz w:val="21"/>
          <w:szCs w:val="21"/>
          <w:u w:val="none"/>
          <w:lang w:val="en-US" w:eastAsia="zh-CN" w:bidi="ar-SA"/>
        </w:rPr>
        <w:t>。</w:t>
      </w:r>
      <w:r>
        <w:rPr>
          <w:rStyle w:val="24"/>
          <w:rFonts w:hint="eastAsia" w:ascii="宋体" w:hAnsi="宋体" w:eastAsia="宋体" w:cs="宋体"/>
          <w:b w:val="0"/>
          <w:bCs w:val="0"/>
          <w:color w:val="333333"/>
          <w:kern w:val="0"/>
          <w:sz w:val="21"/>
          <w:szCs w:val="21"/>
          <w:u w:val="none"/>
          <w:lang w:val="en-US" w:eastAsia="zh-CN" w:bidi="ar-SA"/>
        </w:rPr>
        <w:br w:type="textWrapping"/>
      </w:r>
      <w:r>
        <w:rPr>
          <w:rStyle w:val="24"/>
          <w:rFonts w:hint="default" w:ascii="宋体" w:hAnsi="宋体" w:eastAsia="宋体" w:cs="宋体"/>
          <w:b w:val="0"/>
          <w:bCs w:val="0"/>
          <w:color w:val="333333"/>
          <w:kern w:val="0"/>
          <w:sz w:val="21"/>
          <w:szCs w:val="21"/>
          <w:u w:val="none"/>
          <w:lang w:val="en-US" w:eastAsia="zh-CN" w:bidi="ar-SA"/>
        </w:rPr>
        <w:t>  </w:t>
      </w:r>
      <w:r>
        <w:rPr>
          <w:rStyle w:val="24"/>
          <w:rFonts w:hint="eastAsia" w:ascii="宋体" w:hAnsi="宋体" w:eastAsia="宋体" w:cs="宋体"/>
          <w:b w:val="0"/>
          <w:bCs w:val="0"/>
          <w:color w:val="333333"/>
          <w:kern w:val="0"/>
          <w:sz w:val="21"/>
          <w:szCs w:val="21"/>
          <w:u w:val="none"/>
          <w:lang w:val="en-US" w:eastAsia="zh-CN" w:bidi="ar-SA"/>
        </w:rPr>
        <w:t>（二）配合第三方评估组组织本地中小企业填报《中小企业发展环境情况问卷调查》，由企业自行访问</w:t>
      </w:r>
      <w:r>
        <w:rPr>
          <w:rStyle w:val="24"/>
          <w:rFonts w:hint="eastAsia" w:ascii="宋体" w:hAnsi="宋体" w:eastAsia="宋体" w:cs="宋体"/>
          <w:b w:val="0"/>
          <w:bCs w:val="0"/>
          <w:color w:val="333333"/>
          <w:kern w:val="0"/>
          <w:sz w:val="21"/>
          <w:szCs w:val="21"/>
          <w:u w:val="none"/>
          <w:lang w:val="en-US" w:eastAsia="zh-CN" w:bidi="ar-SA"/>
        </w:rPr>
        <w:fldChar w:fldCharType="begin"/>
      </w:r>
      <w:r>
        <w:rPr>
          <w:rStyle w:val="24"/>
          <w:rFonts w:hint="eastAsia" w:ascii="宋体" w:hAnsi="宋体" w:eastAsia="宋体" w:cs="宋体"/>
          <w:b w:val="0"/>
          <w:bCs w:val="0"/>
          <w:color w:val="333333"/>
          <w:kern w:val="0"/>
          <w:sz w:val="21"/>
          <w:szCs w:val="21"/>
          <w:u w:val="none"/>
          <w:lang w:val="en-US" w:eastAsia="zh-CN" w:bidi="ar-SA"/>
        </w:rPr>
        <w:instrText xml:space="preserve"> HYPERLINK "https://www.wjx.cn/jq/46361752.aspx" </w:instrText>
      </w:r>
      <w:r>
        <w:rPr>
          <w:rStyle w:val="24"/>
          <w:rFonts w:hint="eastAsia" w:ascii="宋体" w:hAnsi="宋体" w:eastAsia="宋体" w:cs="宋体"/>
          <w:b w:val="0"/>
          <w:bCs w:val="0"/>
          <w:color w:val="333333"/>
          <w:kern w:val="0"/>
          <w:sz w:val="21"/>
          <w:szCs w:val="21"/>
          <w:u w:val="none"/>
          <w:lang w:val="en-US" w:eastAsia="zh-CN" w:bidi="ar-SA"/>
        </w:rPr>
        <w:fldChar w:fldCharType="separate"/>
      </w:r>
      <w:r>
        <w:rPr>
          <w:rStyle w:val="24"/>
          <w:rFonts w:hint="eastAsia" w:ascii="宋体" w:hAnsi="宋体" w:eastAsia="宋体" w:cs="宋体"/>
          <w:b w:val="0"/>
          <w:bCs w:val="0"/>
          <w:color w:val="333333"/>
          <w:kern w:val="0"/>
          <w:sz w:val="21"/>
          <w:szCs w:val="21"/>
          <w:u w:val="none"/>
          <w:lang w:val="en-US" w:eastAsia="zh-CN" w:bidi="ar-SA"/>
        </w:rPr>
        <w:t>https://www.wjx.cn/jq/</w:t>
      </w:r>
      <w:r>
        <w:rPr>
          <w:rStyle w:val="24"/>
          <w:rFonts w:hint="default" w:ascii="宋体" w:hAnsi="宋体" w:eastAsia="宋体" w:cs="宋体"/>
          <w:b w:val="0"/>
          <w:bCs w:val="0"/>
          <w:color w:val="333333"/>
          <w:kern w:val="0"/>
          <w:sz w:val="21"/>
          <w:szCs w:val="21"/>
          <w:u w:val="none"/>
          <w:lang w:val="en-US" w:eastAsia="zh-CN" w:bidi="ar-SA"/>
        </w:rPr>
        <w:t>46361752</w:t>
      </w:r>
      <w:r>
        <w:rPr>
          <w:rStyle w:val="24"/>
          <w:rFonts w:hint="eastAsia" w:ascii="宋体" w:hAnsi="宋体" w:eastAsia="宋体" w:cs="宋体"/>
          <w:b w:val="0"/>
          <w:bCs w:val="0"/>
          <w:color w:val="333333"/>
          <w:kern w:val="0"/>
          <w:sz w:val="21"/>
          <w:szCs w:val="21"/>
          <w:u w:val="none"/>
          <w:lang w:val="en-US" w:eastAsia="zh-CN" w:bidi="ar-SA"/>
        </w:rPr>
        <w:t>.aspx</w:t>
      </w:r>
      <w:r>
        <w:rPr>
          <w:rStyle w:val="24"/>
          <w:rFonts w:hint="eastAsia" w:ascii="宋体" w:hAnsi="宋体" w:eastAsia="宋体" w:cs="宋体"/>
          <w:b w:val="0"/>
          <w:bCs w:val="0"/>
          <w:color w:val="333333"/>
          <w:kern w:val="0"/>
          <w:sz w:val="21"/>
          <w:szCs w:val="21"/>
          <w:u w:val="none"/>
          <w:lang w:val="en-US" w:eastAsia="zh-CN" w:bidi="ar-SA"/>
        </w:rPr>
        <w:fldChar w:fldCharType="end"/>
      </w:r>
      <w:r>
        <w:rPr>
          <w:rStyle w:val="24"/>
          <w:rFonts w:hint="eastAsia" w:ascii="宋体" w:hAnsi="宋体" w:eastAsia="宋体" w:cs="宋体"/>
          <w:b w:val="0"/>
          <w:bCs w:val="0"/>
          <w:color w:val="333333"/>
          <w:kern w:val="0"/>
          <w:sz w:val="21"/>
          <w:szCs w:val="21"/>
          <w:u w:val="none"/>
          <w:lang w:val="en-US" w:eastAsia="zh-CN" w:bidi="ar-SA"/>
        </w:rPr>
        <w:t>或手机扫描二维码，于</w:t>
      </w:r>
      <w:r>
        <w:rPr>
          <w:rStyle w:val="24"/>
          <w:rFonts w:hint="default" w:ascii="宋体" w:hAnsi="宋体" w:eastAsia="宋体" w:cs="宋体"/>
          <w:b w:val="0"/>
          <w:bCs w:val="0"/>
          <w:color w:val="333333"/>
          <w:kern w:val="0"/>
          <w:sz w:val="21"/>
          <w:szCs w:val="21"/>
          <w:u w:val="none"/>
          <w:lang w:val="en-US" w:eastAsia="zh-CN" w:bidi="ar-SA"/>
        </w:rPr>
        <w:t>10</w:t>
      </w:r>
      <w:r>
        <w:rPr>
          <w:rStyle w:val="24"/>
          <w:rFonts w:hint="eastAsia" w:ascii="宋体" w:hAnsi="宋体" w:eastAsia="宋体" w:cs="宋体"/>
          <w:b w:val="0"/>
          <w:bCs w:val="0"/>
          <w:color w:val="333333"/>
          <w:kern w:val="0"/>
          <w:sz w:val="21"/>
          <w:szCs w:val="21"/>
          <w:u w:val="none"/>
          <w:lang w:val="en-US" w:eastAsia="zh-CN" w:bidi="ar-SA"/>
        </w:rPr>
        <w:t>月</w:t>
      </w:r>
      <w:r>
        <w:rPr>
          <w:rStyle w:val="24"/>
          <w:rFonts w:hint="default" w:ascii="宋体" w:hAnsi="宋体" w:eastAsia="宋体" w:cs="宋体"/>
          <w:b w:val="0"/>
          <w:bCs w:val="0"/>
          <w:color w:val="333333"/>
          <w:kern w:val="0"/>
          <w:sz w:val="21"/>
          <w:szCs w:val="21"/>
          <w:u w:val="none"/>
          <w:lang w:val="en-US" w:eastAsia="zh-CN" w:bidi="ar-SA"/>
        </w:rPr>
        <w:t>31</w:t>
      </w:r>
      <w:r>
        <w:rPr>
          <w:rStyle w:val="24"/>
          <w:rFonts w:hint="eastAsia" w:ascii="宋体" w:hAnsi="宋体" w:eastAsia="宋体" w:cs="宋体"/>
          <w:b w:val="0"/>
          <w:bCs w:val="0"/>
          <w:color w:val="333333"/>
          <w:kern w:val="0"/>
          <w:sz w:val="21"/>
          <w:szCs w:val="21"/>
          <w:u w:val="none"/>
          <w:lang w:val="en-US" w:eastAsia="zh-CN" w:bidi="ar-SA"/>
        </w:rPr>
        <w:t>日前完成填报。相关链接请在公开渠道公布。（注：填报企业数量应占本地区中小企业总数的千分之二，且不低于</w:t>
      </w:r>
      <w:r>
        <w:rPr>
          <w:rStyle w:val="24"/>
          <w:rFonts w:hint="default" w:ascii="宋体" w:hAnsi="宋体" w:eastAsia="宋体" w:cs="宋体"/>
          <w:b w:val="0"/>
          <w:bCs w:val="0"/>
          <w:color w:val="333333"/>
          <w:kern w:val="0"/>
          <w:sz w:val="21"/>
          <w:szCs w:val="21"/>
          <w:u w:val="none"/>
          <w:lang w:val="en-US" w:eastAsia="zh-CN" w:bidi="ar-SA"/>
        </w:rPr>
        <w:t>300</w:t>
      </w:r>
      <w:r>
        <w:rPr>
          <w:rStyle w:val="24"/>
          <w:rFonts w:hint="eastAsia" w:ascii="宋体" w:hAnsi="宋体" w:eastAsia="宋体" w:cs="宋体"/>
          <w:b w:val="0"/>
          <w:bCs w:val="0"/>
          <w:color w:val="333333"/>
          <w:kern w:val="0"/>
          <w:sz w:val="21"/>
          <w:szCs w:val="21"/>
          <w:u w:val="none"/>
          <w:lang w:val="en-US" w:eastAsia="zh-CN" w:bidi="ar-SA"/>
        </w:rPr>
        <w:t>家；企业类型应包括中型、小型和微型，并涵盖一、二、三产业，其中，一产、二产企业数量不低于企业总数的</w:t>
      </w:r>
      <w:r>
        <w:rPr>
          <w:rStyle w:val="24"/>
          <w:rFonts w:hint="default" w:ascii="宋体" w:hAnsi="宋体" w:eastAsia="宋体" w:cs="宋体"/>
          <w:b w:val="0"/>
          <w:bCs w:val="0"/>
          <w:color w:val="333333"/>
          <w:kern w:val="0"/>
          <w:sz w:val="21"/>
          <w:szCs w:val="21"/>
          <w:u w:val="none"/>
          <w:lang w:val="en-US" w:eastAsia="zh-CN" w:bidi="ar-SA"/>
        </w:rPr>
        <w:t>30</w:t>
      </w:r>
      <w:r>
        <w:rPr>
          <w:rStyle w:val="24"/>
          <w:rFonts w:hint="eastAsia" w:ascii="宋体" w:hAnsi="宋体" w:eastAsia="宋体" w:cs="宋体"/>
          <w:b w:val="0"/>
          <w:bCs w:val="0"/>
          <w:color w:val="333333"/>
          <w:kern w:val="0"/>
          <w:sz w:val="21"/>
          <w:szCs w:val="21"/>
          <w:u w:val="none"/>
          <w:lang w:val="en-US" w:eastAsia="zh-CN" w:bidi="ar-SA"/>
        </w:rPr>
        <w:t>%；填报企业应覆盖本市所属的所有区县）。</w:t>
      </w:r>
      <w:r>
        <w:rPr>
          <w:rStyle w:val="24"/>
          <w:rFonts w:hint="eastAsia" w:ascii="宋体" w:hAnsi="宋体" w:eastAsia="宋体" w:cs="宋体"/>
          <w:b w:val="0"/>
          <w:bCs w:val="0"/>
          <w:color w:val="333333"/>
          <w:kern w:val="0"/>
          <w:sz w:val="21"/>
          <w:szCs w:val="21"/>
          <w:u w:val="none"/>
          <w:lang w:val="en-US" w:eastAsia="zh-CN" w:bidi="ar-SA"/>
        </w:rPr>
        <w:br w:type="textWrapping"/>
      </w:r>
      <w:r>
        <w:rPr>
          <w:rStyle w:val="24"/>
          <w:rFonts w:hint="default" w:ascii="宋体" w:hAnsi="宋体" w:eastAsia="宋体" w:cs="宋体"/>
          <w:b w:val="0"/>
          <w:bCs w:val="0"/>
          <w:color w:val="333333"/>
          <w:kern w:val="0"/>
          <w:sz w:val="21"/>
          <w:szCs w:val="21"/>
          <w:u w:val="none"/>
          <w:lang w:val="en-US" w:eastAsia="zh-CN" w:bidi="ar-SA"/>
        </w:rPr>
        <w:t>  </w:t>
      </w:r>
      <w:r>
        <w:rPr>
          <w:rStyle w:val="24"/>
          <w:rFonts w:hint="eastAsia" w:ascii="宋体" w:hAnsi="宋体" w:eastAsia="宋体" w:cs="宋体"/>
          <w:b w:val="0"/>
          <w:bCs w:val="0"/>
          <w:color w:val="333333"/>
          <w:kern w:val="0"/>
          <w:sz w:val="21"/>
          <w:szCs w:val="21"/>
          <w:u w:val="none"/>
          <w:lang w:val="en-US" w:eastAsia="zh-CN" w:bidi="ar-SA"/>
        </w:rPr>
        <w:t>（三）加强同第三方评估组的对接，安排专人联络，配合评估组完成后续实地评估、数据校验等工作。各地联络人员名单请于</w:t>
      </w:r>
      <w:r>
        <w:rPr>
          <w:rStyle w:val="24"/>
          <w:rFonts w:hint="default" w:ascii="宋体" w:hAnsi="宋体" w:eastAsia="宋体" w:cs="宋体"/>
          <w:b w:val="0"/>
          <w:bCs w:val="0"/>
          <w:color w:val="333333"/>
          <w:kern w:val="0"/>
          <w:sz w:val="21"/>
          <w:szCs w:val="21"/>
          <w:u w:val="none"/>
          <w:lang w:val="en-US" w:eastAsia="zh-CN" w:bidi="ar-SA"/>
        </w:rPr>
        <w:t>10</w:t>
      </w:r>
      <w:r>
        <w:rPr>
          <w:rStyle w:val="24"/>
          <w:rFonts w:hint="eastAsia" w:ascii="宋体" w:hAnsi="宋体" w:eastAsia="宋体" w:cs="宋体"/>
          <w:b w:val="0"/>
          <w:bCs w:val="0"/>
          <w:color w:val="333333"/>
          <w:kern w:val="0"/>
          <w:sz w:val="21"/>
          <w:szCs w:val="21"/>
          <w:u w:val="none"/>
          <w:lang w:val="en-US" w:eastAsia="zh-CN" w:bidi="ar-SA"/>
        </w:rPr>
        <w:t>月</w:t>
      </w:r>
      <w:r>
        <w:rPr>
          <w:rStyle w:val="24"/>
          <w:rFonts w:hint="default" w:ascii="宋体" w:hAnsi="宋体" w:eastAsia="宋体" w:cs="宋体"/>
          <w:b w:val="0"/>
          <w:bCs w:val="0"/>
          <w:color w:val="333333"/>
          <w:kern w:val="0"/>
          <w:sz w:val="21"/>
          <w:szCs w:val="21"/>
          <w:u w:val="none"/>
          <w:lang w:val="en-US" w:eastAsia="zh-CN" w:bidi="ar-SA"/>
        </w:rPr>
        <w:t>9</w:t>
      </w:r>
      <w:r>
        <w:rPr>
          <w:rStyle w:val="24"/>
          <w:rFonts w:hint="eastAsia" w:ascii="宋体" w:hAnsi="宋体" w:eastAsia="宋体" w:cs="宋体"/>
          <w:b w:val="0"/>
          <w:bCs w:val="0"/>
          <w:color w:val="333333"/>
          <w:kern w:val="0"/>
          <w:sz w:val="21"/>
          <w:szCs w:val="21"/>
          <w:u w:val="none"/>
          <w:lang w:val="en-US" w:eastAsia="zh-CN" w:bidi="ar-SA"/>
        </w:rPr>
        <w:t>日前发送至</w:t>
      </w:r>
      <w:r>
        <w:rPr>
          <w:rStyle w:val="24"/>
          <w:rFonts w:hint="eastAsia" w:ascii="宋体" w:hAnsi="宋体" w:eastAsia="宋体" w:cs="宋体"/>
          <w:b w:val="0"/>
          <w:bCs w:val="0"/>
          <w:color w:val="333333"/>
          <w:kern w:val="0"/>
          <w:sz w:val="21"/>
          <w:szCs w:val="21"/>
          <w:u w:val="none"/>
          <w:lang w:val="en-US" w:eastAsia="zh-CN" w:bidi="ar-SA"/>
        </w:rPr>
        <w:fldChar w:fldCharType="begin"/>
      </w:r>
      <w:r>
        <w:rPr>
          <w:rStyle w:val="24"/>
          <w:rFonts w:hint="eastAsia" w:ascii="宋体" w:hAnsi="宋体" w:eastAsia="宋体" w:cs="宋体"/>
          <w:b w:val="0"/>
          <w:bCs w:val="0"/>
          <w:color w:val="333333"/>
          <w:kern w:val="0"/>
          <w:sz w:val="21"/>
          <w:szCs w:val="21"/>
          <w:u w:val="none"/>
          <w:lang w:val="en-US" w:eastAsia="zh-CN" w:bidi="ar-SA"/>
        </w:rPr>
        <w:instrText xml:space="preserve"> HYPERLINK "mailto:smefzhjpg@163.com" </w:instrText>
      </w:r>
      <w:r>
        <w:rPr>
          <w:rStyle w:val="24"/>
          <w:rFonts w:hint="eastAsia" w:ascii="宋体" w:hAnsi="宋体" w:eastAsia="宋体" w:cs="宋体"/>
          <w:b w:val="0"/>
          <w:bCs w:val="0"/>
          <w:color w:val="333333"/>
          <w:kern w:val="0"/>
          <w:sz w:val="21"/>
          <w:szCs w:val="21"/>
          <w:u w:val="none"/>
          <w:lang w:val="en-US" w:eastAsia="zh-CN" w:bidi="ar-SA"/>
        </w:rPr>
        <w:fldChar w:fldCharType="separate"/>
      </w:r>
      <w:r>
        <w:rPr>
          <w:rStyle w:val="24"/>
          <w:rFonts w:hint="eastAsia" w:ascii="宋体" w:hAnsi="宋体" w:eastAsia="宋体" w:cs="宋体"/>
          <w:b w:val="0"/>
          <w:bCs w:val="0"/>
          <w:color w:val="333333"/>
          <w:kern w:val="0"/>
          <w:sz w:val="21"/>
          <w:szCs w:val="21"/>
          <w:u w:val="none"/>
          <w:lang w:val="en-US" w:eastAsia="zh-CN" w:bidi="ar-SA"/>
        </w:rPr>
        <w:t>smefzhjpg@</w:t>
      </w:r>
      <w:r>
        <w:rPr>
          <w:rStyle w:val="24"/>
          <w:rFonts w:hint="default" w:ascii="宋体" w:hAnsi="宋体" w:eastAsia="宋体" w:cs="宋体"/>
          <w:b w:val="0"/>
          <w:bCs w:val="0"/>
          <w:color w:val="333333"/>
          <w:kern w:val="0"/>
          <w:sz w:val="21"/>
          <w:szCs w:val="21"/>
          <w:u w:val="none"/>
          <w:lang w:val="en-US" w:eastAsia="zh-CN" w:bidi="ar-SA"/>
        </w:rPr>
        <w:t>163</w:t>
      </w:r>
      <w:r>
        <w:rPr>
          <w:rStyle w:val="24"/>
          <w:rFonts w:hint="eastAsia" w:ascii="宋体" w:hAnsi="宋体" w:eastAsia="宋体" w:cs="宋体"/>
          <w:b w:val="0"/>
          <w:bCs w:val="0"/>
          <w:color w:val="333333"/>
          <w:kern w:val="0"/>
          <w:sz w:val="21"/>
          <w:szCs w:val="21"/>
          <w:u w:val="none"/>
          <w:lang w:val="en-US" w:eastAsia="zh-CN" w:bidi="ar-SA"/>
        </w:rPr>
        <w:t>.com</w:t>
      </w:r>
      <w:r>
        <w:rPr>
          <w:rStyle w:val="24"/>
          <w:rFonts w:hint="eastAsia" w:ascii="宋体" w:hAnsi="宋体" w:eastAsia="宋体" w:cs="宋体"/>
          <w:b w:val="0"/>
          <w:bCs w:val="0"/>
          <w:color w:val="333333"/>
          <w:kern w:val="0"/>
          <w:sz w:val="21"/>
          <w:szCs w:val="21"/>
          <w:u w:val="none"/>
          <w:lang w:val="en-US" w:eastAsia="zh-CN" w:bidi="ar-SA"/>
        </w:rPr>
        <w:fldChar w:fldCharType="end"/>
      </w:r>
      <w:r>
        <w:rPr>
          <w:rStyle w:val="24"/>
          <w:rFonts w:hint="eastAsia" w:ascii="宋体" w:hAnsi="宋体" w:eastAsia="宋体" w:cs="宋体"/>
          <w:b w:val="0"/>
          <w:bCs w:val="0"/>
          <w:color w:val="333333"/>
          <w:kern w:val="0"/>
          <w:sz w:val="21"/>
          <w:szCs w:val="21"/>
          <w:u w:val="none"/>
          <w:lang w:val="en-US" w:eastAsia="zh-CN" w:bidi="ar-SA"/>
        </w:rPr>
        <w:t>。</w:t>
      </w:r>
      <w:r>
        <w:rPr>
          <w:rStyle w:val="24"/>
          <w:rFonts w:hint="eastAsia" w:ascii="宋体" w:hAnsi="宋体" w:eastAsia="宋体" w:cs="宋体"/>
          <w:b w:val="0"/>
          <w:bCs w:val="0"/>
          <w:color w:val="333333"/>
          <w:kern w:val="0"/>
          <w:sz w:val="21"/>
          <w:szCs w:val="21"/>
          <w:u w:val="none"/>
          <w:lang w:val="en-US" w:eastAsia="zh-CN" w:bidi="ar-SA"/>
        </w:rPr>
        <w:br w:type="textWrapping"/>
      </w:r>
      <w:r>
        <w:rPr>
          <w:rStyle w:val="24"/>
          <w:rFonts w:hint="eastAsia" w:ascii="宋体" w:hAnsi="宋体" w:eastAsia="宋体" w:cs="宋体"/>
          <w:b w:val="0"/>
          <w:bCs w:val="0"/>
          <w:color w:val="333333"/>
          <w:kern w:val="0"/>
          <w:sz w:val="21"/>
          <w:szCs w:val="21"/>
          <w:u w:val="none"/>
          <w:lang w:val="en-US" w:eastAsia="zh-CN" w:bidi="ar-SA"/>
        </w:rPr>
        <w:t>  四、其他要求</w:t>
      </w:r>
      <w:r>
        <w:rPr>
          <w:rStyle w:val="24"/>
          <w:rFonts w:hint="eastAsia" w:ascii="宋体" w:hAnsi="宋体" w:eastAsia="宋体" w:cs="宋体"/>
          <w:b w:val="0"/>
          <w:bCs w:val="0"/>
          <w:color w:val="333333"/>
          <w:kern w:val="0"/>
          <w:sz w:val="21"/>
          <w:szCs w:val="21"/>
          <w:u w:val="none"/>
          <w:lang w:val="en-US" w:eastAsia="zh-CN" w:bidi="ar-SA"/>
        </w:rPr>
        <w:br w:type="textWrapping"/>
      </w:r>
      <w:r>
        <w:rPr>
          <w:rStyle w:val="24"/>
          <w:rFonts w:hint="eastAsia" w:ascii="宋体" w:hAnsi="宋体" w:eastAsia="宋体" w:cs="宋体"/>
          <w:b w:val="0"/>
          <w:bCs w:val="0"/>
          <w:color w:val="333333"/>
          <w:kern w:val="0"/>
          <w:sz w:val="21"/>
          <w:szCs w:val="21"/>
          <w:u w:val="none"/>
          <w:lang w:val="en-US" w:eastAsia="zh-CN" w:bidi="ar-SA"/>
        </w:rPr>
        <w:t>  （一）请各地及时向本地区促进中小企业发展工作领导小组报告本次评估工作，指导被评估城市做好相关部署，认真配合第三方机构开展好本次评估工作。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（二）第三方评估组将于近期开展评估培训，请各地认真组织人员参加。</w:t>
      </w:r>
      <w:r>
        <w:rPr>
          <w:rStyle w:val="24"/>
          <w:rFonts w:hint="eastAsia" w:ascii="宋体" w:hAnsi="宋体" w:eastAsia="宋体" w:cs="宋体"/>
          <w:b w:val="0"/>
          <w:bCs w:val="0"/>
          <w:color w:val="333333"/>
          <w:kern w:val="0"/>
          <w:sz w:val="21"/>
          <w:szCs w:val="21"/>
          <w:u w:val="none"/>
          <w:lang w:val="en-US" w:eastAsia="zh-CN" w:bidi="ar-SA"/>
        </w:rPr>
        <w:br w:type="textWrapping"/>
      </w:r>
      <w:r>
        <w:rPr>
          <w:rStyle w:val="24"/>
          <w:rFonts w:hint="eastAsia" w:ascii="宋体" w:hAnsi="宋体" w:eastAsia="宋体" w:cs="宋体"/>
          <w:b w:val="0"/>
          <w:bCs w:val="0"/>
          <w:color w:val="333333"/>
          <w:kern w:val="0"/>
          <w:sz w:val="21"/>
          <w:szCs w:val="21"/>
          <w:u w:val="none"/>
          <w:lang w:val="en-US" w:eastAsia="zh-CN" w:bidi="ar-SA"/>
        </w:rPr>
        <w:t>  （三）评估结果将由第三方评估组视情况向社会公开发布。</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Style w:val="24"/>
          <w:rFonts w:hint="eastAsia" w:ascii="宋体" w:hAnsi="宋体" w:eastAsia="宋体" w:cs="宋体"/>
          <w:b w:val="0"/>
          <w:bCs w:val="0"/>
          <w:color w:val="333333"/>
          <w:kern w:val="0"/>
          <w:sz w:val="21"/>
          <w:szCs w:val="21"/>
          <w:u w:val="none"/>
          <w:lang w:val="en-US" w:eastAsia="zh-CN" w:bidi="ar-SA"/>
        </w:rPr>
      </w:pPr>
    </w:p>
    <w:p>
      <w:pPr>
        <w:keepNext w:val="0"/>
        <w:keepLines w:val="0"/>
        <w:widowControl/>
        <w:suppressLineNumbers w:val="0"/>
        <w:spacing w:line="432" w:lineRule="auto"/>
        <w:jc w:val="center"/>
        <w:rPr>
          <w:rFonts w:hint="eastAsia" w:ascii="Times New Roman" w:hAnsi="Times New Roman" w:eastAsia="宋体" w:cs="Times New Roman"/>
          <w:b/>
          <w:bCs/>
          <w:i w:val="0"/>
          <w:caps w:val="0"/>
          <w:color w:val="000000"/>
          <w:spacing w:val="0"/>
          <w:kern w:val="44"/>
          <w:sz w:val="28"/>
          <w:szCs w:val="28"/>
          <w:lang w:val="en-US" w:eastAsia="zh-CN" w:bidi="ar-SA"/>
        </w:rPr>
      </w:pPr>
    </w:p>
    <w:p>
      <w:pPr>
        <w:keepNext w:val="0"/>
        <w:keepLines w:val="0"/>
        <w:widowControl/>
        <w:suppressLineNumbers w:val="0"/>
        <w:spacing w:line="432" w:lineRule="auto"/>
        <w:jc w:val="center"/>
        <w:rPr>
          <w:rFonts w:hint="eastAsia" w:ascii="Times New Roman" w:hAnsi="Times New Roman" w:eastAsia="宋体" w:cs="Times New Roman"/>
          <w:b/>
          <w:bCs/>
          <w:i w:val="0"/>
          <w:caps w:val="0"/>
          <w:color w:val="000000"/>
          <w:spacing w:val="0"/>
          <w:kern w:val="44"/>
          <w:sz w:val="28"/>
          <w:szCs w:val="28"/>
          <w:lang w:val="en-US" w:eastAsia="zh-CN" w:bidi="ar-SA"/>
        </w:rPr>
      </w:pPr>
    </w:p>
    <w:p>
      <w:pPr>
        <w:keepNext w:val="0"/>
        <w:keepLines w:val="0"/>
        <w:widowControl/>
        <w:suppressLineNumbers w:val="0"/>
        <w:spacing w:line="432" w:lineRule="auto"/>
        <w:jc w:val="center"/>
        <w:rPr>
          <w:rFonts w:hint="eastAsia" w:ascii="Times New Roman" w:hAnsi="Times New Roman" w:eastAsia="宋体" w:cs="Times New Roman"/>
          <w:b/>
          <w:bCs/>
          <w:i w:val="0"/>
          <w:caps w:val="0"/>
          <w:color w:val="000000"/>
          <w:spacing w:val="0"/>
          <w:kern w:val="44"/>
          <w:sz w:val="28"/>
          <w:szCs w:val="28"/>
          <w:lang w:val="en-US" w:eastAsia="zh-CN" w:bidi="ar-SA"/>
        </w:rPr>
      </w:pPr>
      <w:r>
        <w:rPr>
          <w:rFonts w:hint="eastAsia" w:ascii="Times New Roman" w:hAnsi="Times New Roman" w:eastAsia="宋体" w:cs="Times New Roman"/>
          <w:b/>
          <w:bCs/>
          <w:i w:val="0"/>
          <w:caps w:val="0"/>
          <w:color w:val="000000"/>
          <w:spacing w:val="0"/>
          <w:kern w:val="44"/>
          <w:sz w:val="28"/>
          <w:szCs w:val="28"/>
          <w:lang w:val="en-US" w:eastAsia="zh-CN" w:bidi="ar-SA"/>
        </w:rPr>
        <w:t xml:space="preserve">关于修订发布《普惠金融发展专项资金管理办法》的通知 </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hint="eastAsia" w:ascii="楷体" w:hAnsi="楷体" w:eastAsia="楷体" w:cs="楷体"/>
          <w:color w:val="333333"/>
          <w:sz w:val="24"/>
          <w:szCs w:val="24"/>
          <w:u w:val="none"/>
          <w:lang w:val="en-US" w:eastAsia="zh-CN"/>
        </w:rPr>
      </w:pPr>
      <w:r>
        <w:rPr>
          <w:rFonts w:hint="eastAsia" w:ascii="楷体" w:hAnsi="楷体" w:eastAsia="楷体" w:cs="楷体"/>
          <w:color w:val="333333"/>
          <w:sz w:val="24"/>
          <w:szCs w:val="24"/>
          <w:u w:val="none"/>
          <w:lang w:val="en-US" w:eastAsia="zh-CN"/>
        </w:rPr>
        <w:t>财金〔2019〕96号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Style w:val="24"/>
          <w:rFonts w:hint="eastAsia" w:ascii="宋体" w:hAnsi="宋体" w:eastAsia="宋体" w:cs="宋体"/>
          <w:b w:val="0"/>
          <w:bCs w:val="0"/>
          <w:color w:val="333333"/>
          <w:kern w:val="0"/>
          <w:sz w:val="21"/>
          <w:szCs w:val="21"/>
          <w:u w:val="none"/>
          <w:lang w:val="en-US" w:eastAsia="zh-CN" w:bidi="ar-SA"/>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各省、自治区、直辖市、计划单列市财政厅（局），新疆生产建设兵团财政局，财政部各地监管局：</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为贯彻落实《推进普惠金融发展规划（2016-2020年）》（国发〔2015〕74号），优化完善财政支持普惠金融发展方式，更好发挥财政资金引导撬动作用，切实提高普惠金融服务水平，推动大众创业、万众创新，服务乡村振兴战略，助力打好防范化解重大风险攻坚战，结合近年来工作实践，我们对2015年公布的《普惠金融发展专项资金管理办法》进行了修订。现予印发，请遵照执行。</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附件：普惠金融发展专项资金管理办法（修订稿）</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　　财  政  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　　2019年9月28日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i w:val="0"/>
          <w:caps w:val="0"/>
          <w:color w:val="000000"/>
          <w:spacing w:val="0"/>
          <w:sz w:val="28"/>
          <w:szCs w:val="28"/>
        </w:rPr>
      </w:pPr>
      <w:bookmarkStart w:id="243" w:name="_Toc23111"/>
      <w:r>
        <w:rPr>
          <w:i w:val="0"/>
          <w:caps w:val="0"/>
          <w:color w:val="000000"/>
          <w:spacing w:val="0"/>
          <w:sz w:val="28"/>
          <w:szCs w:val="28"/>
        </w:rPr>
        <w:t>工业和信息化部关于公布2019年度国家小型微型企业创业创新示范基地名单的通告</w:t>
      </w:r>
      <w:bookmarkEnd w:id="243"/>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hint="eastAsia" w:ascii="楷体" w:hAnsi="楷体" w:eastAsia="楷体" w:cs="楷体"/>
          <w:color w:val="333333"/>
          <w:sz w:val="24"/>
          <w:szCs w:val="24"/>
          <w:u w:val="none"/>
          <w:lang w:val="en-US" w:eastAsia="zh-CN"/>
        </w:rPr>
      </w:pPr>
      <w:r>
        <w:rPr>
          <w:rFonts w:ascii="宋体" w:hAnsi="宋体" w:eastAsia="宋体" w:cs="宋体"/>
          <w:sz w:val="24"/>
          <w:szCs w:val="24"/>
        </w:rPr>
        <w:br w:type="textWrapping"/>
      </w:r>
      <w:r>
        <w:rPr>
          <w:rFonts w:hint="eastAsia" w:ascii="楷体" w:hAnsi="楷体" w:eastAsia="楷体" w:cs="楷体"/>
          <w:color w:val="333333"/>
          <w:sz w:val="24"/>
          <w:szCs w:val="24"/>
          <w:u w:val="none"/>
          <w:lang w:val="en-US" w:eastAsia="zh-CN"/>
        </w:rPr>
        <w:t>工信部企业函〔2019〕303号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Style w:val="24"/>
          <w:rFonts w:hint="eastAsia" w:ascii="宋体" w:hAnsi="宋体" w:eastAsia="宋体" w:cs="宋体"/>
          <w:b w:val="0"/>
          <w:bCs w:val="0"/>
          <w:color w:val="333333"/>
          <w:kern w:val="0"/>
          <w:sz w:val="21"/>
          <w:szCs w:val="21"/>
          <w:u w:val="none"/>
          <w:lang w:val="en-US" w:eastAsia="zh-CN" w:bidi="ar-SA"/>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为贯彻落实中共中央办公厅、国务院办公厅《关于促进中小企业健康发展的指导意见》和工业和信息化部、发展改革委、财政部、国土资源部、税务总局《关于推动小型微型企业创业创新基地发展的指导意见》（工信部联企业〔2016〕394号），按照工业和信息化部《国家小型微型企业创业创新示范基地建设管理办法》（工信部企业〔2016〕194号），经省级中小企业主管部门推荐、专家评审和公示，确定了2019年度国家小型微型企业创业创新示范基地名单。有关事项通告如下：</w:t>
      </w:r>
      <w:r>
        <w:rPr>
          <w:rStyle w:val="24"/>
          <w:rFonts w:hint="default" w:ascii="宋体" w:hAnsi="宋体" w:eastAsia="宋体" w:cs="宋体"/>
          <w:b w:val="0"/>
          <w:bCs w:val="0"/>
          <w:color w:val="333333"/>
          <w:kern w:val="0"/>
          <w:sz w:val="21"/>
          <w:szCs w:val="21"/>
          <w:u w:val="none"/>
          <w:lang w:val="en-US" w:eastAsia="zh-CN" w:bidi="ar-SA"/>
        </w:rPr>
        <w:br w:type="textWrapping"/>
      </w:r>
      <w:r>
        <w:rPr>
          <w:rStyle w:val="24"/>
          <w:rFonts w:hint="default" w:ascii="宋体" w:hAnsi="宋体" w:eastAsia="宋体" w:cs="宋体"/>
          <w:b w:val="0"/>
          <w:bCs w:val="0"/>
          <w:color w:val="333333"/>
          <w:kern w:val="0"/>
          <w:sz w:val="21"/>
          <w:szCs w:val="21"/>
          <w:u w:val="none"/>
          <w:lang w:val="en-US" w:eastAsia="zh-CN" w:bidi="ar-SA"/>
        </w:rPr>
        <w:t>　　一、同意授予腾讯众创智能硬件创业创新基地、鑫恩华小型微型企业创业创新示范基地、百川创业创新中心等107家基地“国家小型微型企业创业创新示范基地”称号（具体名单见附件）。</w:t>
      </w:r>
      <w:r>
        <w:rPr>
          <w:rStyle w:val="24"/>
          <w:rFonts w:hint="default" w:ascii="宋体" w:hAnsi="宋体" w:eastAsia="宋体" w:cs="宋体"/>
          <w:b w:val="0"/>
          <w:bCs w:val="0"/>
          <w:color w:val="333333"/>
          <w:kern w:val="0"/>
          <w:sz w:val="21"/>
          <w:szCs w:val="21"/>
          <w:u w:val="none"/>
          <w:lang w:val="en-US" w:eastAsia="zh-CN" w:bidi="ar-SA"/>
        </w:rPr>
        <w:br w:type="textWrapping"/>
      </w:r>
      <w:r>
        <w:rPr>
          <w:rStyle w:val="24"/>
          <w:rFonts w:hint="default" w:ascii="宋体" w:hAnsi="宋体" w:eastAsia="宋体" w:cs="宋体"/>
          <w:b w:val="0"/>
          <w:bCs w:val="0"/>
          <w:color w:val="333333"/>
          <w:kern w:val="0"/>
          <w:sz w:val="21"/>
          <w:szCs w:val="21"/>
          <w:u w:val="none"/>
          <w:lang w:val="en-US" w:eastAsia="zh-CN" w:bidi="ar-SA"/>
        </w:rPr>
        <w:t>　　二、示范基地要不断优化创业创新设施和环境，充分运用现代信息技术创新服务和运营模式，增强服务能力；集聚内外部优质资源，畅通信息渠道，不断满足小微企业创业创新需求，提供专业化、个性化服务；建立健全服务制度，完善服务功能，提高服务效率；主动开展公益性服务，积极承担政府部门委托的各项任务；加强与其他小型微型企业创业创新基地的交流学习，发挥示范带动作用。</w:t>
      </w:r>
      <w:r>
        <w:rPr>
          <w:rStyle w:val="24"/>
          <w:rFonts w:hint="default" w:ascii="宋体" w:hAnsi="宋体" w:eastAsia="宋体" w:cs="宋体"/>
          <w:b w:val="0"/>
          <w:bCs w:val="0"/>
          <w:color w:val="333333"/>
          <w:kern w:val="0"/>
          <w:sz w:val="21"/>
          <w:szCs w:val="21"/>
          <w:u w:val="none"/>
          <w:lang w:val="en-US" w:eastAsia="zh-CN" w:bidi="ar-SA"/>
        </w:rPr>
        <w:br w:type="textWrapping"/>
      </w:r>
      <w:r>
        <w:rPr>
          <w:rStyle w:val="24"/>
          <w:rFonts w:hint="default" w:ascii="宋体" w:hAnsi="宋体" w:eastAsia="宋体" w:cs="宋体"/>
          <w:b w:val="0"/>
          <w:bCs w:val="0"/>
          <w:color w:val="333333"/>
          <w:kern w:val="0"/>
          <w:sz w:val="21"/>
          <w:szCs w:val="21"/>
          <w:u w:val="none"/>
          <w:lang w:val="en-US" w:eastAsia="zh-CN" w:bidi="ar-SA"/>
        </w:rPr>
        <w:t>　　三、各地中小企业主管部门要切实履行监督检查职责，定期对辖区内示范基地的服务质量以及服务满意度等运营情况进行检查，做好年度总结和检查情况报告；梳理总结和推广示范基地经验，结合本地区经济发展实际情况，做好小型微型企业创业创新基地的培育和认定工作。</w:t>
      </w:r>
      <w:r>
        <w:rPr>
          <w:rStyle w:val="24"/>
          <w:rFonts w:hint="default" w:ascii="宋体" w:hAnsi="宋体" w:eastAsia="宋体" w:cs="宋体"/>
          <w:b w:val="0"/>
          <w:bCs w:val="0"/>
          <w:color w:val="333333"/>
          <w:kern w:val="0"/>
          <w:sz w:val="21"/>
          <w:szCs w:val="21"/>
          <w:u w:val="none"/>
          <w:lang w:val="en-US" w:eastAsia="zh-CN" w:bidi="ar-SA"/>
        </w:rPr>
        <w:br w:type="textWrapping"/>
      </w:r>
      <w:r>
        <w:rPr>
          <w:rStyle w:val="24"/>
          <w:rFonts w:hint="default" w:ascii="宋体" w:hAnsi="宋体" w:eastAsia="宋体" w:cs="宋体"/>
          <w:b w:val="0"/>
          <w:bCs w:val="0"/>
          <w:color w:val="333333"/>
          <w:kern w:val="0"/>
          <w:sz w:val="21"/>
          <w:szCs w:val="21"/>
          <w:u w:val="none"/>
          <w:lang w:val="en-US" w:eastAsia="zh-CN" w:bidi="ar-SA"/>
        </w:rPr>
        <w:t>　　四、工业和信息化部将委托中介机构组织专家对示范基地进行年度测评，对测评不合格的撤销示范基地称号。</w:t>
      </w:r>
      <w:r>
        <w:rPr>
          <w:rStyle w:val="24"/>
          <w:rFonts w:hint="default" w:ascii="宋体" w:hAnsi="宋体" w:eastAsia="宋体" w:cs="宋体"/>
          <w:b w:val="0"/>
          <w:bCs w:val="0"/>
          <w:color w:val="333333"/>
          <w:kern w:val="0"/>
          <w:sz w:val="21"/>
          <w:szCs w:val="21"/>
          <w:u w:val="none"/>
          <w:lang w:val="en-US" w:eastAsia="zh-CN" w:bidi="ar-SA"/>
        </w:rPr>
        <w:br w:type="textWrapping"/>
      </w:r>
      <w:r>
        <w:rPr>
          <w:rStyle w:val="24"/>
          <w:rFonts w:hint="default" w:ascii="宋体" w:hAnsi="宋体" w:eastAsia="宋体" w:cs="宋体"/>
          <w:b w:val="0"/>
          <w:bCs w:val="0"/>
          <w:color w:val="333333"/>
          <w:kern w:val="0"/>
          <w:sz w:val="21"/>
          <w:szCs w:val="21"/>
          <w:u w:val="none"/>
          <w:lang w:val="en-US" w:eastAsia="zh-CN" w:bidi="ar-SA"/>
        </w:rPr>
        <w:t>　　五、示范基地有效期三年，有效期为2020年1月1日至2022年12月31日。</w:t>
      </w:r>
      <w:r>
        <w:rPr>
          <w:rStyle w:val="24"/>
          <w:rFonts w:hint="default" w:ascii="宋体" w:hAnsi="宋体" w:eastAsia="宋体" w:cs="宋体"/>
          <w:b w:val="0"/>
          <w:bCs w:val="0"/>
          <w:color w:val="333333"/>
          <w:kern w:val="0"/>
          <w:sz w:val="21"/>
          <w:szCs w:val="21"/>
          <w:u w:val="none"/>
          <w:lang w:val="en-US" w:eastAsia="zh-CN" w:bidi="ar-SA"/>
        </w:rPr>
        <w:br w:type="textWrapping"/>
      </w:r>
      <w:r>
        <w:rPr>
          <w:rStyle w:val="24"/>
          <w:rFonts w:hint="default" w:ascii="宋体" w:hAnsi="宋体" w:eastAsia="宋体" w:cs="宋体"/>
          <w:b w:val="0"/>
          <w:bCs w:val="0"/>
          <w:color w:val="333333"/>
          <w:kern w:val="0"/>
          <w:sz w:val="21"/>
          <w:szCs w:val="21"/>
          <w:u w:val="none"/>
          <w:lang w:val="en-US" w:eastAsia="zh-CN" w:bidi="ar-SA"/>
        </w:rPr>
        <w:t>　　六、2016年认定且未在此通告名单内的示范基地，有效期至2019年12月31日。</w:t>
      </w:r>
      <w:r>
        <w:rPr>
          <w:rStyle w:val="24"/>
          <w:rFonts w:hint="default" w:ascii="宋体" w:hAnsi="宋体" w:eastAsia="宋体" w:cs="宋体"/>
          <w:b w:val="0"/>
          <w:bCs w:val="0"/>
          <w:color w:val="333333"/>
          <w:kern w:val="0"/>
          <w:sz w:val="21"/>
          <w:szCs w:val="21"/>
          <w:u w:val="none"/>
          <w:lang w:val="en-US" w:eastAsia="zh-CN" w:bidi="ar-SA"/>
        </w:rPr>
        <w:br w:type="textWrapping"/>
      </w:r>
      <w:r>
        <w:rPr>
          <w:rStyle w:val="24"/>
          <w:rFonts w:hint="default" w:ascii="宋体" w:hAnsi="宋体" w:eastAsia="宋体" w:cs="宋体"/>
          <w:b w:val="0"/>
          <w:bCs w:val="0"/>
          <w:color w:val="333333"/>
          <w:kern w:val="0"/>
          <w:sz w:val="21"/>
          <w:szCs w:val="21"/>
          <w:u w:val="none"/>
          <w:lang w:val="en-US" w:eastAsia="zh-CN" w:bidi="ar-SA"/>
        </w:rPr>
        <w:t>　　附件：</w:t>
      </w:r>
      <w:r>
        <w:rPr>
          <w:rStyle w:val="24"/>
          <w:rFonts w:hint="default" w:ascii="宋体" w:hAnsi="宋体" w:eastAsia="宋体" w:cs="宋体"/>
          <w:b w:val="0"/>
          <w:bCs w:val="0"/>
          <w:color w:val="333333"/>
          <w:kern w:val="0"/>
          <w:sz w:val="21"/>
          <w:szCs w:val="21"/>
          <w:u w:val="none"/>
          <w:lang w:val="en-US" w:eastAsia="zh-CN" w:bidi="ar-SA"/>
        </w:rPr>
        <w:fldChar w:fldCharType="begin"/>
      </w:r>
      <w:r>
        <w:rPr>
          <w:rStyle w:val="24"/>
          <w:rFonts w:hint="default" w:ascii="宋体" w:hAnsi="宋体" w:eastAsia="宋体" w:cs="宋体"/>
          <w:b w:val="0"/>
          <w:bCs w:val="0"/>
          <w:color w:val="333333"/>
          <w:kern w:val="0"/>
          <w:sz w:val="21"/>
          <w:szCs w:val="21"/>
          <w:u w:val="none"/>
          <w:lang w:val="en-US" w:eastAsia="zh-CN" w:bidi="ar-SA"/>
        </w:rPr>
        <w:instrText xml:space="preserve"> HYPERLINK "http://www.miit.gov.cn/n1146285/n1146352/n3054355/n3057527/n3057529/c7473474/part/7473587.xls" </w:instrText>
      </w:r>
      <w:r>
        <w:rPr>
          <w:rStyle w:val="24"/>
          <w:rFonts w:hint="default" w:ascii="宋体" w:hAnsi="宋体" w:eastAsia="宋体" w:cs="宋体"/>
          <w:b w:val="0"/>
          <w:bCs w:val="0"/>
          <w:color w:val="333333"/>
          <w:kern w:val="0"/>
          <w:sz w:val="21"/>
          <w:szCs w:val="21"/>
          <w:u w:val="none"/>
          <w:lang w:val="en-US" w:eastAsia="zh-CN" w:bidi="ar-SA"/>
        </w:rPr>
        <w:fldChar w:fldCharType="separate"/>
      </w:r>
      <w:r>
        <w:rPr>
          <w:rStyle w:val="24"/>
          <w:rFonts w:hint="default" w:ascii="宋体" w:hAnsi="宋体" w:eastAsia="宋体" w:cs="宋体"/>
          <w:b w:val="0"/>
          <w:bCs w:val="0"/>
          <w:color w:val="333333"/>
          <w:kern w:val="0"/>
          <w:sz w:val="21"/>
          <w:szCs w:val="21"/>
          <w:u w:val="none"/>
          <w:lang w:val="en-US" w:eastAsia="zh-CN" w:bidi="ar-SA"/>
        </w:rPr>
        <w:t>2019年度国家小型微型企业创业创新示范基地名单</w:t>
      </w:r>
      <w:r>
        <w:rPr>
          <w:rStyle w:val="24"/>
          <w:rFonts w:hint="default" w:ascii="宋体" w:hAnsi="宋体" w:eastAsia="宋体" w:cs="宋体"/>
          <w:b w:val="0"/>
          <w:bCs w:val="0"/>
          <w:color w:val="333333"/>
          <w:kern w:val="0"/>
          <w:sz w:val="21"/>
          <w:szCs w:val="21"/>
          <w:u w:val="none"/>
          <w:lang w:val="en-US" w:eastAsia="zh-CN" w:bidi="ar-SA"/>
        </w:rPr>
        <w:fldChar w:fldCharType="end"/>
      </w:r>
      <w:r>
        <w:rPr>
          <w:rStyle w:val="24"/>
          <w:rFonts w:hint="default" w:ascii="宋体" w:hAnsi="宋体" w:eastAsia="宋体" w:cs="宋体"/>
          <w:b w:val="0"/>
          <w:bCs w:val="0"/>
          <w:color w:val="333333"/>
          <w:kern w:val="0"/>
          <w:sz w:val="21"/>
          <w:szCs w:val="21"/>
          <w:u w:val="none"/>
          <w:lang w:val="en-US" w:eastAsia="zh-CN" w:bidi="ar-SA"/>
        </w:rPr>
        <w:br w:type="textWrapping"/>
      </w:r>
      <w:r>
        <w:rPr>
          <w:rStyle w:val="24"/>
          <w:rFonts w:hint="default" w:ascii="宋体" w:hAnsi="宋体" w:eastAsia="宋体" w:cs="宋体"/>
          <w:b w:val="0"/>
          <w:bCs w:val="0"/>
          <w:color w:val="333333"/>
          <w:kern w:val="0"/>
          <w:sz w:val="21"/>
          <w:szCs w:val="21"/>
          <w:u w:val="none"/>
          <w:lang w:val="en-US" w:eastAsia="zh-CN" w:bidi="ar-SA"/>
        </w:rPr>
        <w:br w:type="textWrapping"/>
      </w:r>
      <w:r>
        <w:rPr>
          <w:rStyle w:val="24"/>
          <w:rFonts w:hint="eastAsia" w:ascii="宋体" w:hAnsi="宋体" w:eastAsia="宋体" w:cs="宋体"/>
          <w:b w:val="0"/>
          <w:bCs w:val="0"/>
          <w:color w:val="333333"/>
          <w:kern w:val="0"/>
          <w:sz w:val="21"/>
          <w:szCs w:val="21"/>
          <w:u w:val="none"/>
          <w:lang w:val="en-US" w:eastAsia="zh-CN" w:bidi="ar-SA"/>
        </w:rPr>
        <w:t>　　</w:t>
      </w:r>
      <w:r>
        <w:rPr>
          <w:rStyle w:val="24"/>
          <w:rFonts w:hint="default" w:ascii="宋体" w:hAnsi="宋体" w:eastAsia="宋体" w:cs="宋体"/>
          <w:b w:val="0"/>
          <w:bCs w:val="0"/>
          <w:color w:val="333333"/>
          <w:kern w:val="0"/>
          <w:sz w:val="21"/>
          <w:szCs w:val="21"/>
          <w:u w:val="none"/>
          <w:lang w:val="en-US" w:eastAsia="zh-CN" w:bidi="ar-SA"/>
        </w:rPr>
        <w:t>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righ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                          工业和信息化部</w:t>
      </w:r>
      <w:r>
        <w:rPr>
          <w:rStyle w:val="24"/>
          <w:rFonts w:hint="eastAsia" w:ascii="宋体" w:hAnsi="宋体" w:eastAsia="宋体" w:cs="宋体"/>
          <w:b w:val="0"/>
          <w:bCs w:val="0"/>
          <w:color w:val="333333"/>
          <w:kern w:val="0"/>
          <w:sz w:val="21"/>
          <w:szCs w:val="21"/>
          <w:u w:val="none"/>
          <w:lang w:val="en-US" w:eastAsia="zh-CN" w:bidi="ar-SA"/>
        </w:rPr>
        <w:br w:type="textWrapping"/>
      </w:r>
      <w:r>
        <w:rPr>
          <w:rStyle w:val="24"/>
          <w:rFonts w:hint="default" w:ascii="宋体" w:hAnsi="宋体" w:eastAsia="宋体" w:cs="宋体"/>
          <w:b w:val="0"/>
          <w:bCs w:val="0"/>
          <w:color w:val="333333"/>
          <w:kern w:val="0"/>
          <w:sz w:val="21"/>
          <w:szCs w:val="21"/>
          <w:u w:val="none"/>
          <w:lang w:val="en-US" w:eastAsia="zh-CN" w:bidi="ar-SA"/>
        </w:rPr>
        <w:t>                           2019年10月9日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367" w:firstLineChars="175"/>
        <w:jc w:val="left"/>
        <w:textAlignment w:val="auto"/>
        <w:outlineLvl w:val="1"/>
        <w:rPr>
          <w:rStyle w:val="24"/>
          <w:rFonts w:hint="default" w:ascii="宋体" w:hAnsi="宋体" w:eastAsia="宋体" w:cs="宋体"/>
          <w:b w:val="0"/>
          <w:bCs w:val="0"/>
          <w:color w:val="333333"/>
          <w:kern w:val="0"/>
          <w:sz w:val="21"/>
          <w:szCs w:val="21"/>
          <w:u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367" w:firstLineChars="175"/>
        <w:jc w:val="left"/>
        <w:textAlignment w:val="auto"/>
        <w:outlineLvl w:val="1"/>
        <w:rPr>
          <w:rStyle w:val="24"/>
          <w:rFonts w:hint="default" w:ascii="宋体" w:hAnsi="宋体" w:eastAsia="宋体" w:cs="宋体"/>
          <w:b w:val="0"/>
          <w:bCs w:val="0"/>
          <w:color w:val="333333"/>
          <w:kern w:val="0"/>
          <w:sz w:val="21"/>
          <w:szCs w:val="21"/>
          <w:u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367" w:firstLineChars="175"/>
        <w:jc w:val="left"/>
        <w:textAlignment w:val="auto"/>
        <w:outlineLvl w:val="1"/>
        <w:rPr>
          <w:rStyle w:val="24"/>
          <w:rFonts w:hint="default" w:ascii="宋体" w:hAnsi="宋体" w:eastAsia="宋体" w:cs="宋体"/>
          <w:b w:val="0"/>
          <w:bCs w:val="0"/>
          <w:color w:val="333333"/>
          <w:kern w:val="0"/>
          <w:sz w:val="21"/>
          <w:szCs w:val="21"/>
          <w:u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367" w:firstLineChars="175"/>
        <w:jc w:val="left"/>
        <w:textAlignment w:val="auto"/>
        <w:outlineLvl w:val="1"/>
        <w:rPr>
          <w:rStyle w:val="24"/>
          <w:rFonts w:hint="default" w:ascii="宋体" w:hAnsi="宋体" w:eastAsia="宋体" w:cs="宋体"/>
          <w:b w:val="0"/>
          <w:bCs w:val="0"/>
          <w:color w:val="333333"/>
          <w:kern w:val="0"/>
          <w:sz w:val="21"/>
          <w:szCs w:val="21"/>
          <w:u w:val="none"/>
          <w:lang w:val="en-US" w:eastAsia="zh-CN" w:bidi="ar-SA"/>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Times New Roman" w:hAnsi="Times New Roman" w:eastAsia="宋体" w:cs="Times New Roman"/>
          <w:b/>
          <w:bCs/>
          <w:i w:val="0"/>
          <w:caps w:val="0"/>
          <w:color w:val="000000"/>
          <w:spacing w:val="0"/>
          <w:kern w:val="44"/>
          <w:sz w:val="28"/>
          <w:szCs w:val="28"/>
          <w:lang w:val="en-US" w:eastAsia="zh-CN" w:bidi="ar-SA"/>
        </w:rPr>
      </w:pPr>
      <w:r>
        <w:rPr>
          <w:rFonts w:ascii="Times New Roman" w:hAnsi="Times New Roman" w:eastAsia="宋体" w:cs="Times New Roman"/>
          <w:b/>
          <w:bCs/>
          <w:i w:val="0"/>
          <w:caps w:val="0"/>
          <w:color w:val="000000"/>
          <w:spacing w:val="0"/>
          <w:kern w:val="44"/>
          <w:sz w:val="28"/>
          <w:szCs w:val="28"/>
          <w:lang w:val="en-US" w:eastAsia="zh-CN" w:bidi="ar-SA"/>
        </w:rPr>
        <w:t>国家税务总局 </w:t>
      </w:r>
      <w:r>
        <w:rPr>
          <w:rFonts w:hint="default" w:ascii="Times New Roman" w:hAnsi="Times New Roman" w:eastAsia="宋体" w:cs="Times New Roman"/>
          <w:b/>
          <w:bCs/>
          <w:i w:val="0"/>
          <w:caps w:val="0"/>
          <w:color w:val="000000"/>
          <w:spacing w:val="0"/>
          <w:kern w:val="44"/>
          <w:sz w:val="28"/>
          <w:szCs w:val="28"/>
          <w:lang w:val="en-US" w:eastAsia="zh-CN" w:bidi="ar-SA"/>
        </w:rPr>
        <w:t> 中国银行保险监督管理委员会</w:t>
      </w:r>
    </w:p>
    <w:p>
      <w:pPr>
        <w:pStyle w:val="20"/>
        <w:keepNext w:val="0"/>
        <w:keepLines w:val="0"/>
        <w:widowControl/>
        <w:suppressLineNumbers w:val="0"/>
        <w:shd w:val="clear" w:fill="FFFFFF"/>
        <w:spacing w:before="0" w:beforeAutospacing="0" w:after="0" w:afterAutospacing="0" w:line="480" w:lineRule="atLeast"/>
        <w:ind w:left="0" w:right="0" w:firstLine="0"/>
        <w:jc w:val="center"/>
        <w:rPr>
          <w:rFonts w:hint="eastAsia" w:ascii="Times New Roman" w:hAnsi="Times New Roman" w:eastAsia="宋体" w:cs="Times New Roman"/>
          <w:b/>
          <w:bCs/>
          <w:i w:val="0"/>
          <w:caps w:val="0"/>
          <w:color w:val="000000"/>
          <w:spacing w:val="0"/>
          <w:kern w:val="44"/>
          <w:sz w:val="28"/>
          <w:szCs w:val="28"/>
          <w:lang w:val="en-US" w:eastAsia="zh-CN" w:bidi="ar-SA"/>
        </w:rPr>
      </w:pPr>
      <w:r>
        <w:rPr>
          <w:rFonts w:hint="default" w:ascii="Times New Roman" w:hAnsi="Times New Roman" w:eastAsia="宋体" w:cs="Times New Roman"/>
          <w:b/>
          <w:bCs/>
          <w:i w:val="0"/>
          <w:caps w:val="0"/>
          <w:color w:val="000000"/>
          <w:spacing w:val="0"/>
          <w:kern w:val="44"/>
          <w:sz w:val="28"/>
          <w:szCs w:val="28"/>
          <w:lang w:val="en-US" w:eastAsia="zh-CN" w:bidi="ar-SA"/>
        </w:rPr>
        <w:t>关于深化和规范“银税互动”工作的通知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hint="eastAsia" w:ascii="楷体" w:hAnsi="楷体" w:eastAsia="楷体" w:cs="楷体"/>
          <w:color w:val="333333"/>
          <w:sz w:val="24"/>
          <w:szCs w:val="24"/>
          <w:u w:val="none"/>
          <w:lang w:val="en-US" w:eastAsia="zh-CN"/>
        </w:rPr>
      </w:pPr>
      <w:r>
        <w:rPr>
          <w:rFonts w:hint="eastAsia" w:ascii="楷体" w:hAnsi="楷体" w:eastAsia="楷体" w:cs="楷体"/>
          <w:color w:val="333333"/>
          <w:sz w:val="24"/>
          <w:szCs w:val="24"/>
          <w:u w:val="none"/>
          <w:lang w:val="en-US" w:eastAsia="zh-CN"/>
        </w:rPr>
        <w:t>税总发〔2019〕113号</w:t>
      </w:r>
      <w:r>
        <w:rPr>
          <w:rFonts w:hint="default" w:ascii="楷体" w:hAnsi="楷体" w:eastAsia="楷体" w:cs="楷体"/>
          <w:color w:val="333333"/>
          <w:sz w:val="24"/>
          <w:szCs w:val="24"/>
          <w:u w:val="none"/>
          <w:lang w:val="en-US" w:eastAsia="zh-CN"/>
        </w:rPr>
        <w:t> </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333333"/>
          <w:spacing w:val="0"/>
          <w:sz w:val="19"/>
          <w:szCs w:val="19"/>
        </w:rPr>
      </w:pPr>
      <w:r>
        <w:rPr>
          <w:rFonts w:hint="default" w:ascii="仿宋_GB2312" w:hAnsi="微软雅黑" w:eastAsia="仿宋_GB2312" w:cs="仿宋_GB2312"/>
          <w:i w:val="0"/>
          <w:caps w:val="0"/>
          <w:color w:val="333333"/>
          <w:spacing w:val="0"/>
          <w:sz w:val="32"/>
          <w:szCs w:val="32"/>
          <w:shd w:val="clear" w:fill="FFFFFF"/>
        </w:rPr>
        <w:t>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国家税务总局各省、自治区、直辖市和计划单列市税务局，国家税务总局驻各地特派员办事处，各银保监局，各大型银行、股份制银行，邮储银行:</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为深入贯彻落实党中央、国务院关于优化营商环境、深化“放管服”改革、加强信用体系建设等决策部署，更好支持民营经济和小微企业发展，按照《国务院办公厅关于聚焦企业关切进一步推动优化营商环境政策落实的通知》（国办发〔2018〕104号）要求,充分发挥纳税信用信息在普惠金融体系建设中的重要作用，破解民营和小微企业融资难题，加强数据安全管理，保护企业合法权益，促进“银税互动”积极健康发展，现就深化和规范“银税互动”有关事项通知如下：</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黑体" w:hAnsi="黑体" w:eastAsia="黑体" w:cs="黑体"/>
          <w:b w:val="0"/>
          <w:bCs w:val="0"/>
          <w:color w:val="333333"/>
          <w:kern w:val="0"/>
          <w:sz w:val="21"/>
          <w:szCs w:val="21"/>
          <w:u w:val="none"/>
          <w:lang w:val="en-US" w:eastAsia="zh-CN" w:bidi="ar-SA"/>
        </w:rPr>
      </w:pPr>
      <w:r>
        <w:rPr>
          <w:rStyle w:val="24"/>
          <w:rFonts w:hint="eastAsia" w:ascii="黑体" w:hAnsi="黑体" w:eastAsia="黑体" w:cs="黑体"/>
          <w:b w:val="0"/>
          <w:bCs w:val="0"/>
          <w:color w:val="333333"/>
          <w:kern w:val="0"/>
          <w:sz w:val="21"/>
          <w:szCs w:val="21"/>
          <w:u w:val="none"/>
          <w:lang w:val="en-US" w:eastAsia="zh-CN" w:bidi="ar-SA"/>
        </w:rPr>
        <w:t>一、深挖合作潜能，充分发挥“银税互动”的普惠效能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（一）扩大“银税互动”受惠企业范围。银行业金融机构（以下简称“银行”）逐步将申请“银税互动”贷款的受惠企业范围由纳税信用A级和B级企业扩大至M级企业。</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二）积极推进银税数据直连。各省应结合本地实际情况，加快推进税务和银行之间“省对省”数据直连工作机制。税务总局不再扩大与银行总行数据直连试点范围。税务部门不再与第三方签订新的“银税互动”合作协议（单纯为税务部门提供平台开发和技术运维服务的协议除外），已经与第三方签订相关合作协议的，要尽快转换为与银行或银保监部门数据直连模式，积极稳妥地与当地银行或银保监部门做好转换期间的业务对接，确保正常业务不脱节、不中断。</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三）创新“银税互动”信贷产品。各地税务、银保监部门要积极引导银行聚焦民营和小微企业，根据其贷款需求强、金额小、偿还快等特点，优化信贷审批流程，创新设计信贷产品。各地银保监部门要及时组织银行进行“银税互动”降低企业融资成本的效应分析，适时推广成熟适用的信贷产品设计理念和运行模式，提升“银税互动”工作质效。各地银行要积极推进通过网上银行等渠道，实现贷款申请、审批、授信、放贷“网上一站式”办理，进一步提高“银税互动”服务效率。</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黑体" w:hAnsi="黑体" w:eastAsia="黑体" w:cs="黑体"/>
          <w:b w:val="0"/>
          <w:bCs w:val="0"/>
          <w:color w:val="333333"/>
          <w:kern w:val="0"/>
          <w:sz w:val="21"/>
          <w:szCs w:val="21"/>
          <w:u w:val="none"/>
          <w:lang w:val="en-US" w:eastAsia="zh-CN" w:bidi="ar-SA"/>
        </w:rPr>
      </w:pPr>
      <w:r>
        <w:rPr>
          <w:rStyle w:val="24"/>
          <w:rFonts w:hint="eastAsia" w:ascii="黑体" w:hAnsi="黑体" w:eastAsia="黑体" w:cs="黑体"/>
          <w:b w:val="0"/>
          <w:bCs w:val="0"/>
          <w:color w:val="333333"/>
          <w:kern w:val="0"/>
          <w:sz w:val="21"/>
          <w:szCs w:val="21"/>
          <w:u w:val="none"/>
          <w:lang w:val="en-US" w:eastAsia="zh-CN" w:bidi="ar-SA"/>
        </w:rPr>
        <w:t>二、严禁第三方乱收费，规范“银税互动”正常秩序</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三方合作机构不得借“银税互动”名义以任何形式向申请贷款企业收取任何费用，不得以任何方式买卖、提供或公开“银税互动”中的涉税信息。银行请第三方合作机构协助处理“银税互动”涉税信息的，应选择根据《征信业管理条例》和《征信机构管理办法》备案的征信机构。银行不得将授信审查、风险控制等核心业务外包，不得接受无担保资质第三方合作机构提供的增信服务和兜底承诺等变相增信服务。银行应在合作协议中规定第三方合作机构不得向企业收费，也不得向企业转嫁任何费用。发现第三方合作机构向企业收取费用或变相抬高融资成本的，银行应停止与其合作，并及时将有关情况告知银保监、税务部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黑体" w:hAnsi="黑体" w:eastAsia="黑体" w:cs="黑体"/>
          <w:b w:val="0"/>
          <w:bCs w:val="0"/>
          <w:color w:val="333333"/>
          <w:kern w:val="0"/>
          <w:sz w:val="21"/>
          <w:szCs w:val="21"/>
          <w:u w:val="none"/>
          <w:lang w:val="en-US" w:eastAsia="zh-CN" w:bidi="ar-SA"/>
        </w:rPr>
      </w:pPr>
      <w:r>
        <w:rPr>
          <w:rStyle w:val="24"/>
          <w:rFonts w:hint="eastAsia" w:ascii="黑体" w:hAnsi="黑体" w:eastAsia="黑体" w:cs="黑体"/>
          <w:b w:val="0"/>
          <w:bCs w:val="0"/>
          <w:color w:val="333333"/>
          <w:kern w:val="0"/>
          <w:sz w:val="21"/>
          <w:szCs w:val="21"/>
          <w:u w:val="none"/>
          <w:lang w:val="en-US" w:eastAsia="zh-CN" w:bidi="ar-SA"/>
        </w:rPr>
        <w:t>三、加强安全管理，促进“银税互动”健康发展</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一）确保“银税互动”信用信息安全。各地税务、银保监部门和银行在“银税互动”合作协议中，要明确各方数据安全管理和保密责任。银行应将企业涉税信息纳入全行数据安全管理体系，确保信用信息传输、存储和使用安全。银行与第三方合作的，要制定相应的数据安全管理制度，切实防范信用信息的泄露和盗用。对于交由第三方处理的涉税信息，银行必须进行脱敏处理，不得将税务明细数据直接推送给第三方。银保监部门要对银行的数据使用及安全管理情况进行监督管理，对存在风险隐患的，应要求限期整改，对泄露涉税信息的应采取相应的监管措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二）维护企业合法权益。各地税务、银保监部门和银行要及时响应企业对“银税互动”的意见和投诉，符合条件的要及时予以办理和回复。银行通过“银税互动”取得的涉税信息，只能用于“银税互动”信贷管理。税务、银保监部门和银行要强化内控管理，遵循最小授权原则设定涉税数据管理和使用权限，切实保护企业商业秘密，维护企业合法权益。银行不得与税务部门信息化服务供应商开展基于企业发票数据的相关业务合作；银行在融资服务中需要使用企业发票数据的，应依法合规获取，并严格保护企业上下游信息安全，不得转卖、外泄企业发票数据。</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三）规范信用信息共享范围。各地税务、银保监部门和银行要严格按照《国家税务总局中国银行业监督管理委员会关于进一步推动“银税互动”工作的通知》（税总发〔2017〕56号）要求开展银税信用信息共享。税务部门除按国家社会信用体系建设要求依法推送纳税信用评价结果信息外，向银行提供的企业纳税信息须在依法合规、企业授权的前提下进行。银行要及时向税务部门和银保监部门反馈“银税互动”贷款信息，便于掌握“银税互动”开展情况。税务部门要按照税收信息对外提供的相关规定，做好信息归档和备案工作。探索将企业授权银行查询其涉税信息的记录纳入信息共享范围，防范过度授信风险。</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黑体" w:hAnsi="黑体" w:eastAsia="黑体" w:cs="黑体"/>
          <w:b w:val="0"/>
          <w:bCs w:val="0"/>
          <w:color w:val="333333"/>
          <w:kern w:val="0"/>
          <w:sz w:val="21"/>
          <w:szCs w:val="21"/>
          <w:u w:val="none"/>
          <w:lang w:val="en-US" w:eastAsia="zh-CN" w:bidi="ar-SA"/>
        </w:rPr>
      </w:pPr>
      <w:r>
        <w:rPr>
          <w:rStyle w:val="24"/>
          <w:rFonts w:hint="eastAsia" w:ascii="黑体" w:hAnsi="黑体" w:eastAsia="黑体" w:cs="黑体"/>
          <w:b w:val="0"/>
          <w:bCs w:val="0"/>
          <w:color w:val="333333"/>
          <w:kern w:val="0"/>
          <w:sz w:val="21"/>
          <w:szCs w:val="21"/>
          <w:u w:val="none"/>
          <w:lang w:val="en-US" w:eastAsia="zh-CN" w:bidi="ar-SA"/>
        </w:rPr>
        <w:t>四、多方联动，共同营造“银税互动”良好氛围</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各地税务、银保监部门和银行要充分发挥银税合作联席会议制度的作用，组织开展丰富多样的宣传推广活动，不断扩大“银税互动”知晓面。银保监部门要将“银税互动”业务开展情况纳入小微企业金融服务监管评价体系，引导其积极服务民营和小微企业。税务和银保监部门要建立“银税互动”效果评价体系，及时分析反映“银税互动”普惠效果，提升守信激励的示范效应，促进营商环境持续优化。</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  国家税务总局      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中国银行保险监督管理委员会</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                            2019年11月1日</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default" w:ascii="宋体" w:hAnsi="宋体" w:eastAsia="宋体" w:cs="宋体"/>
          <w:b w:val="0"/>
          <w:bCs w:val="0"/>
          <w:color w:val="333333"/>
          <w:kern w:val="0"/>
          <w:sz w:val="21"/>
          <w:szCs w:val="21"/>
          <w:u w:val="none"/>
          <w:lang w:val="en-US" w:eastAsia="zh-CN" w:bidi="ar-SA"/>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default" w:ascii="宋体" w:hAnsi="宋体" w:eastAsia="宋体" w:cs="宋体"/>
          <w:b w:val="0"/>
          <w:bCs w:val="0"/>
          <w:color w:val="333333"/>
          <w:kern w:val="0"/>
          <w:sz w:val="21"/>
          <w:szCs w:val="21"/>
          <w:u w:val="none"/>
          <w:lang w:val="en-US" w:eastAsia="zh-CN" w:bidi="ar-SA"/>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default" w:ascii="宋体" w:hAnsi="宋体" w:eastAsia="宋体" w:cs="宋体"/>
          <w:b w:val="0"/>
          <w:bCs w:val="0"/>
          <w:color w:val="333333"/>
          <w:kern w:val="0"/>
          <w:sz w:val="21"/>
          <w:szCs w:val="21"/>
          <w:u w:val="none"/>
          <w:lang w:val="en-US" w:eastAsia="zh-CN" w:bidi="ar-SA"/>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default" w:ascii="宋体" w:hAnsi="宋体" w:eastAsia="宋体" w:cs="宋体"/>
          <w:b w:val="0"/>
          <w:bCs w:val="0"/>
          <w:color w:val="333333"/>
          <w:kern w:val="0"/>
          <w:sz w:val="21"/>
          <w:szCs w:val="21"/>
          <w:u w:val="none"/>
          <w:lang w:val="en-US" w:eastAsia="zh-CN" w:bidi="ar-SA"/>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Times New Roman" w:hAnsi="Times New Roman" w:eastAsia="宋体" w:cs="Times New Roman"/>
          <w:b/>
          <w:bCs/>
          <w:i w:val="0"/>
          <w:caps w:val="0"/>
          <w:color w:val="000000"/>
          <w:spacing w:val="0"/>
          <w:kern w:val="44"/>
          <w:sz w:val="28"/>
          <w:szCs w:val="28"/>
          <w:lang w:val="en-US" w:eastAsia="zh-CN" w:bidi="ar-SA"/>
        </w:rPr>
      </w:pPr>
      <w:r>
        <w:rPr>
          <w:rFonts w:hint="eastAsia" w:ascii="Times New Roman" w:hAnsi="Times New Roman" w:eastAsia="宋体" w:cs="Times New Roman"/>
          <w:b/>
          <w:bCs/>
          <w:i w:val="0"/>
          <w:caps w:val="0"/>
          <w:color w:val="000000"/>
          <w:spacing w:val="0"/>
          <w:kern w:val="44"/>
          <w:sz w:val="28"/>
          <w:szCs w:val="28"/>
          <w:lang w:val="en-US" w:eastAsia="zh-CN" w:bidi="ar-SA"/>
        </w:rPr>
        <w:t>关于推动先进制造业和现代服务业</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Times New Roman" w:hAnsi="Times New Roman" w:eastAsia="宋体" w:cs="Times New Roman"/>
          <w:b/>
          <w:bCs/>
          <w:i w:val="0"/>
          <w:caps w:val="0"/>
          <w:color w:val="000000"/>
          <w:spacing w:val="0"/>
          <w:kern w:val="44"/>
          <w:sz w:val="28"/>
          <w:szCs w:val="28"/>
          <w:lang w:val="en-US" w:eastAsia="zh-CN" w:bidi="ar-SA"/>
        </w:rPr>
      </w:pPr>
      <w:r>
        <w:rPr>
          <w:rFonts w:hint="eastAsia" w:ascii="Times New Roman" w:hAnsi="Times New Roman" w:eastAsia="宋体" w:cs="Times New Roman"/>
          <w:b/>
          <w:bCs/>
          <w:i w:val="0"/>
          <w:caps w:val="0"/>
          <w:color w:val="000000"/>
          <w:spacing w:val="0"/>
          <w:kern w:val="44"/>
          <w:sz w:val="28"/>
          <w:szCs w:val="28"/>
          <w:lang w:val="en-US" w:eastAsia="zh-CN" w:bidi="ar-SA"/>
        </w:rPr>
        <w:t>深度融合发展的实施意见</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hint="eastAsia" w:ascii="楷体" w:hAnsi="楷体" w:eastAsia="楷体" w:cs="楷体"/>
          <w:color w:val="333333"/>
          <w:sz w:val="24"/>
          <w:szCs w:val="24"/>
          <w:u w:val="none"/>
          <w:lang w:val="en-US" w:eastAsia="zh-CN"/>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hint="eastAsia" w:ascii="楷体" w:hAnsi="楷体" w:eastAsia="楷体" w:cs="楷体"/>
          <w:color w:val="333333"/>
          <w:sz w:val="24"/>
          <w:szCs w:val="24"/>
          <w:u w:val="none"/>
          <w:lang w:val="en-US" w:eastAsia="zh-CN"/>
        </w:rPr>
      </w:pPr>
      <w:r>
        <w:rPr>
          <w:rFonts w:hint="eastAsia" w:ascii="楷体" w:hAnsi="楷体" w:eastAsia="楷体" w:cs="楷体"/>
          <w:color w:val="333333"/>
          <w:sz w:val="24"/>
          <w:szCs w:val="24"/>
          <w:u w:val="none"/>
          <w:lang w:val="en-US" w:eastAsia="zh-CN"/>
        </w:rPr>
        <w:t>发改产业〔2019〕1762号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各省、自治区、直辖市及计划单列市、新疆生产建设兵团有关部门：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先进制造业和现代服务业融合是顺应新一轮科技革命和产业变革，增强制造业核心竞争力、培育现代产业体系、实现高质量发展的重要途径。近年来，我国两业融合步伐不断加快，但也面临发展不平衡、协同性不强、深度不够和政策环境、体制机制存在制约等问题。为推动先进制造业和现代服务业深度融合发展，经中央全面深化改革委员会第十次会议审议同意，现提出以下意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黑体" w:hAnsi="黑体" w:eastAsia="黑体" w:cs="黑体"/>
          <w:b w:val="0"/>
          <w:bCs w:val="0"/>
          <w:color w:val="333333"/>
          <w:kern w:val="0"/>
          <w:sz w:val="21"/>
          <w:szCs w:val="21"/>
          <w:u w:val="none"/>
          <w:lang w:val="en-US" w:eastAsia="zh-CN" w:bidi="ar-SA"/>
        </w:rPr>
      </w:pPr>
      <w:r>
        <w:rPr>
          <w:rStyle w:val="24"/>
          <w:rFonts w:hint="eastAsia" w:ascii="黑体" w:hAnsi="黑体" w:eastAsia="黑体" w:cs="黑体"/>
          <w:b w:val="0"/>
          <w:bCs w:val="0"/>
          <w:color w:val="333333"/>
          <w:kern w:val="0"/>
          <w:sz w:val="21"/>
          <w:szCs w:val="21"/>
          <w:u w:val="none"/>
          <w:lang w:val="en-US" w:eastAsia="zh-CN" w:bidi="ar-SA"/>
        </w:rPr>
        <w:t>一、总体思路和目标</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以习近平新时代中国特色社会主义思想为指导，坚持以供给侧结构性改革为主线，充分发挥市场配置资源的决定性作用，更好发挥政府作用，顺应科技革命、产业变革、消费升级趋势，通过鼓励创新、加强合作、以点带面，深化业务关联、链条延伸、技术渗透，探索新业态、新模式、新路径，推动先进制造业和现代服务业相融相长、耦合共生。</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到2025年，形成一批创新活跃、效益显著、质量卓越、带动效应突出的深度融合发展企业、平台和示范区，企业生产性服务投入逐步提高，产业生态不断完善，两业融合成为推动制造业高质量发展的重要支撑。</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黑体" w:hAnsi="黑体" w:eastAsia="黑体" w:cs="黑体"/>
          <w:b w:val="0"/>
          <w:bCs w:val="0"/>
          <w:color w:val="333333"/>
          <w:kern w:val="0"/>
          <w:sz w:val="21"/>
          <w:szCs w:val="21"/>
          <w:u w:val="none"/>
          <w:lang w:val="en-US" w:eastAsia="zh-CN" w:bidi="ar-SA"/>
        </w:rPr>
      </w:pPr>
      <w:r>
        <w:rPr>
          <w:rStyle w:val="24"/>
          <w:rFonts w:hint="eastAsia" w:ascii="黑体" w:hAnsi="黑体" w:eastAsia="黑体" w:cs="黑体"/>
          <w:b w:val="0"/>
          <w:bCs w:val="0"/>
          <w:color w:val="333333"/>
          <w:kern w:val="0"/>
          <w:sz w:val="21"/>
          <w:szCs w:val="21"/>
          <w:u w:val="none"/>
          <w:lang w:val="en-US" w:eastAsia="zh-CN" w:bidi="ar-SA"/>
        </w:rPr>
        <w:t>二、培育融合发展新业态新模式</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（一）推进建设智能工厂。大力发展智能化解决方案服务，深化新一代信息技术、人工智能等应用，实现数据跨系统采集、传输、分析、应用，优化生产流程，提高效率和质量。</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（二）加快工业互联网创新应用。以建设网络基础设施、发展应用平台体系、提升安全保障能力为支撑，推动制造业全要素、全产业链连接，完善协同应用生态，建设数字化、网络化、智能化制造和服务体系。</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（三）推广柔性化定制。通过体验互动、在线设计等方式，增强定制设计能力，加强零件标准化、配件精细化、部件模块化管理，实现以用户为中心的定制和按需灵活生产。</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（四）发展共享生产平台。鼓励资源富集企业面向社会开放产品开发、制造、物流配送等资源，提供研发设计、优化控制、设备管理、质量监控等服务，实现资源高效利用和价值共享。</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（五）提升总集成总承包水平。支持设计、制造、施工等领域骨干企业整合资源、延伸链条，发展咨询设计、制造采购、施工安装、系统集成、运维管理等一揽子服务，提供整体解决方案。</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（六）加强全生命周期管理。引导企业通过建立监测系统、应答中心、追溯体系等方式，提供远程运维、状态预警、故障诊断等在线服务，发展产品再制造、再利用，实现经济、社会生态价值最大化。</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（七）优化供应链管理。提升信息、物料、资金、产品等配置流通效率，推动设计、采购、制造、销售、消费信息交互和流程再造，形成高效协同、弹性安全、绿色可持续的智慧供应链网络。</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（八）发展服务衍生制造。鼓励电商、研发设计、文化旅游等服务企业，发挥大数据、技术、渠道、创意等要素优势，通过委托制造、品牌授权等方式向制造环节拓展。</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（九）发展工业文化旅游。支持有条件的工业遗产和企业、园区、基地等，挖掘历史文化底蕴，开发集生产展示、观光体验、教育科普等于一体的旅游产品，厚植工业文化，弘扬工匠精神。</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十）培育其他新业态新模式。深化研发、生产、流通、消费等环节关联，加快业态模式创新升级，有效防范数据安全、道德风险，实现制造先进精准、服务丰富优质、流程灵活高效、模式互惠多元，提升全产业链价值。</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黑体" w:hAnsi="黑体" w:eastAsia="黑体" w:cs="黑体"/>
          <w:b w:val="0"/>
          <w:bCs w:val="0"/>
          <w:color w:val="333333"/>
          <w:kern w:val="0"/>
          <w:sz w:val="21"/>
          <w:szCs w:val="21"/>
          <w:u w:val="none"/>
          <w:lang w:val="en-US" w:eastAsia="zh-CN" w:bidi="ar-SA"/>
        </w:rPr>
      </w:pPr>
      <w:r>
        <w:rPr>
          <w:rStyle w:val="24"/>
          <w:rFonts w:hint="eastAsia" w:ascii="黑体" w:hAnsi="黑体" w:eastAsia="黑体" w:cs="黑体"/>
          <w:b w:val="0"/>
          <w:bCs w:val="0"/>
          <w:color w:val="333333"/>
          <w:kern w:val="0"/>
          <w:sz w:val="21"/>
          <w:szCs w:val="21"/>
          <w:u w:val="none"/>
          <w:lang w:val="en-US" w:eastAsia="zh-CN" w:bidi="ar-SA"/>
        </w:rPr>
        <w:t>三、探索重点行业重点领域融合发展新路径</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一）加快原材料工业和服务业融合步伐。加快原材料企业向产品和专业服务解决方案提供商转型。加强早期研发介入合作，提供定向开发服务，缩短产品研发周期。鼓励有条件的企业提供社会化能源管理、安全环保、信息化等服务。推动具备区位、技术等优势的钢铁、水泥等企业发展废弃物协同处置、资源循环利用、污水处理、热力供应等服务。</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二）推动消费品工业和服务业深度融合。注重差异化、品质化、绿色化消费需求，推动消费品工业服务化升级。以服装、家居等为重点，发展规模化、个性化定制。以智能手机、家电、新型终端等为重点，发展“产品+内容+生态”全链式智能生态服务。以家电、消费电子等为重点，落实生产者责任延伸制度，健全废旧产品回收拆解体系，促进更新消费。</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三）提升装备制造业和服务业融合水平。推动装备制造企业向系统集成和整体解决方案提供商转型。支持市场化兼并重组，培育具有总承包能力的大型综合性装备企业。发展辅助设计、系统仿真、智能控制等高端工业软件，建设铸造、锻造、表面处理、热处理等基础工艺中心。用好强大国内市场资源，加快重大技术装备创新，突破关键核心技术，带动配套、专业服务等产业协同发展。</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四）完善汽车制造和服务全链条体系。加快汽车由传统出行工具向智能移动空间升级。推动汽车智能化发展，加快构建产业生态体系。加强车况、出行、充放电等数据挖掘应用，为汽车制造、城市建设、电网改造等提供支撑。加快充电设施建设布局，鼓励有条件的地方和领域探索发展换电和电池租赁服务，建立动力电池回收利用管理体系。规范发展汽车租赁、改装、二手车交易、维修保养等后市场。</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五）深化制造业服务业和互联网融合发展。大力发展“互联网+”，激发发展活力和潜力，营造融合发展新生态。突破工业机理建模、数字孪生、信息物理系统等关键技术。深入实施工业互联网创新发展战略，加快构建标识解析、安全保障体系，发展面向重点行业和区域的工业互联网平台。推动重点行业数字化转型，推广一批行业系统解决方案，推动企业内外网升级改造。加快人工智能、5G等新一代信息技术在制造、服务企业的创新应用，逐步实现深度优化和智能决策。</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六）促进现代物流和制造业高效融合。鼓励物流、快递企业融入制造业采购、生产、仓储、分销、配送等环节，持续推进降本增效。优化节点布局，完善配套设施，加强物流资源配置共享。鼓励物流外包，发展零库存管理、生产线边物流等新型业务。推进智能化改造和上下游标准衔接，推广标准化装载单元，发展单元化物流。鼓励物流企业和制造企业协同“走出去”，提供安全可靠服务。</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七）强化研发设计服务和制造业有机融合。瞄准转型升级关键环节和突出短板，推动研发设计服务与制造业融合发展、互促共进。引导研发设计企业与制造企业嵌入式合作，提供需求分析、创新试验、原型开发等服务。开展制造业设计能力提升专项行动，促进工业设计向高端综合设计服务转型。完善知识产权交易和中介服务体系，推进创新成果转移转化。</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八）加强新能源生产使用和制造业绿色融合。顺应分布式、智能化发展趋势，推进新能源生产服务与设备制造协同发展。推广智能发电、智慧用能设备系统，推动能源高效管理和交易。发展分布式储能服务，实现储能设施混合配置、高效管理、友好并网。加强工业设备、智能家电等用电大数据分析，优化设计，降低能耗。推动氢能产业创新、集聚发展，完善氢能制备、储运、加注等设施和服务。</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九）推进消费服务重点领域和制造业创新融合。满足重点领域消费升级需求，推动智能设备产业创新发展。重点发展手术机器人、医学影像、远程诊疗等高端医疗设备，可穿戴监测、运动、婴幼儿监护、适老化健康养老等智能设备，开展健康管理、运动向导、精准照护等增值服务，逐步实现设备智能化、生活智慧化。鼓励增强/虚拟现实等技术在购物、广电等场景中的应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十）提高金融服务制造业转型升级质效。坚持金融服务实体经济，创新产品和服务，有效防范风险，规范产融结合。依托产业链龙头企业资金、客户、数据、信用等优势，发展基于真实交易背景的票据、应收账款、存货、预付款项融资等供应链金融服务。鼓励发展装备融资租赁业务。</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黑体" w:hAnsi="黑体" w:eastAsia="黑体" w:cs="黑体"/>
          <w:b w:val="0"/>
          <w:bCs w:val="0"/>
          <w:color w:val="333333"/>
          <w:kern w:val="0"/>
          <w:sz w:val="21"/>
          <w:szCs w:val="21"/>
          <w:u w:val="none"/>
          <w:lang w:val="en-US" w:eastAsia="zh-CN" w:bidi="ar-SA"/>
        </w:rPr>
      </w:pPr>
      <w:r>
        <w:rPr>
          <w:rStyle w:val="24"/>
          <w:rFonts w:hint="eastAsia" w:ascii="黑体" w:hAnsi="黑体" w:eastAsia="黑体" w:cs="黑体"/>
          <w:b w:val="0"/>
          <w:bCs w:val="0"/>
          <w:color w:val="333333"/>
          <w:kern w:val="0"/>
          <w:sz w:val="21"/>
          <w:szCs w:val="21"/>
          <w:u w:val="none"/>
          <w:lang w:val="en-US" w:eastAsia="zh-CN" w:bidi="ar-SA"/>
        </w:rPr>
        <w:t>四、发挥多元化融合发展主体作用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一）强化产业链龙头企业引领作用。在产品集成度、生产协作度较高的领域，培育一批处于价值链顶部、具有全产业链号召力和国际影响力的龙头企业。发挥其产业链推动者作用，在技术、产品、服务等领域持续创新突破，深化与配套服务企业协同，引领产业链深度融合和高端跃升。</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二）发挥行业骨干企业示范效应。在技术相对成熟、市场竞争充分的领域，培育一批创新能力和品牌影响力突出的行业领军企业。鼓励其先行探索，发展专业化服务，提供行业系统解决方案。引导业内企业积极借鉴、优化创新，形成差异化的融合发展模式路径。</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三）激发专精特新中小微企业融合发展活力。发挥中小微企业贴近市场、机制灵活等优势，引导其加快业态模式创新，在细分领域培育一批专精特新“小巨人”和“单项冠军”企业。以国家级新区、产业园区等为重点，完善服务体系，提升服务效能，推动产业集群融合发展。</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四）提升平台型企业和机构综合服务效能。坚持包容审慎和规范监管，构建若干以平台型企业为主导的产业生态圈，发挥其整合资源、集聚企业的优势，促进产销精准连接、高效畅通。鼓励建立新型研发机构，适应技术攻关、成果转化等需求。加快培育高水平质量技术服务企业和机构，提供优质计量、标准、检验检测、认证认可等服务。</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五）释放其他各类主体融合发展潜力。引导高等院校、职业学校以及科研、咨询、金融、投资、知识产权等机构，发挥人才、资本、技术、数据等优势，积极创业创新，发展新产业新业态。发挥行业协会在协调服务等方面的重要作用，鼓励建立跨区域、跨行业、跨领域的新型产业联盟。</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黑体" w:hAnsi="黑体" w:eastAsia="黑体" w:cs="黑体"/>
          <w:b w:val="0"/>
          <w:bCs w:val="0"/>
          <w:color w:val="333333"/>
          <w:kern w:val="0"/>
          <w:sz w:val="21"/>
          <w:szCs w:val="21"/>
          <w:u w:val="none"/>
          <w:lang w:val="en-US" w:eastAsia="zh-CN" w:bidi="ar-SA"/>
        </w:rPr>
      </w:pPr>
      <w:r>
        <w:rPr>
          <w:rStyle w:val="24"/>
          <w:rFonts w:hint="eastAsia" w:ascii="黑体" w:hAnsi="黑体" w:eastAsia="黑体" w:cs="黑体"/>
          <w:b w:val="0"/>
          <w:bCs w:val="0"/>
          <w:color w:val="333333"/>
          <w:kern w:val="0"/>
          <w:sz w:val="21"/>
          <w:szCs w:val="21"/>
          <w:u w:val="none"/>
          <w:lang w:val="en-US" w:eastAsia="zh-CN" w:bidi="ar-SA"/>
        </w:rPr>
        <w:t>五、保障措施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一）优化发展环境。清理制约两业融合发展的规章、规范性文件和其他政策措施。放宽市场准入，深化资质、认证认可管理体制改革。改革完善招投标制度。推动政府数据开放共享，发挥社会数据资源价值，推进数据资源整合和安全保护。建立消费网络平台产品质量管控机制。加快建立推广适应工业互联网和智能应用场景需求的设备、产品统一标识标准体系。研究支持制造领域服务出口政策。完善政府采购相关政策。支持有条件的地方开展融合发展统计监测和评价体系研究。依法规范加强反垄断和反不正当竞争执法。建立创新高效协同的两业融合工作推进机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二）强化用地保障。鼓励地方创新用地供给，盘活闲置土地和城镇低效用地，实行长期租赁、先租后让、租让结合等供应方式，保障两业融合发展用地需求。鼓励地方探索功能适度混合的产业用地模式，同一宗土地上兼容两种以上用途的，依据主用途确定供应方式，主用途可以依据建筑面积占比或功能重要性确定。符合产业和用地政策，具备独立分宗条件的宗地可以合并、分割。对企业利用原有土地建设物流基础设施，在容积率调整、规划许可等方面给予支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三）加大金融支持。鼓励金融机构结合职能定位，按照商业化原则，向两业融合发展企业和项目提供适应其生产和建设周期特点的中长期融资，稳妥开展并购贷款业务，积极支持开展供应链金融服务。支持符合条件的企业上市融资和发行企业债券、公司债券、非金融企业债务融资工具。建立知识产权质押信息平台，扩大知识产权质押融资规模。</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四）加强人力资源保障。改革完善人才管理评价制度，探索建立复合型人才评价和职业发展通道体系。完善学科专业体系，深化职业教育改革，深入推进产教融合，提升校企合作水平，建设一批产教融合型企业和实训基地，推行现代学徒制和企业新型学徒制，加快创新型、技能型人才培养。发挥领军人物重要作用，加快培养引进中高级经营管理、技术技能人才。</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五）开展两业融合试点。支持有条件的城市、产业园区，开展区域融合发展试点，在创新管理方式、完善工作机制和创新用地、统计、市场监管等方面先行先试。鼓励重点行业和领域代表性企业开展行业、企业融合发展试点，探索可行模式路径，加快行业转型升级，建设世界一流企业。</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推动先进制造业和现代服务业深度融合发展，要加强组织领导，强化主体责任。各部门要加快出台配套政策和细则，加强业务指导；各地方要认真落实本意见要求，推动开展试点，及时研究解决实施过程中遇到的重大问题，适时总结好的经验和做法，按程序报告。</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国家发展改革委</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工业和信息化部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中 央 网 信 办</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教　　育　　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财　　政　　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人力资源社会保障部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自 然 资 源 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商　　务　　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人　民　银　行</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市场监管总局</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统　　计　　局</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版　　权　　局</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银　保　监　会</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证　　监　　会</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知 识 产 权 局</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2019年11月10日</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default" w:ascii="宋体" w:hAnsi="宋体" w:eastAsia="宋体" w:cs="宋体"/>
          <w:b w:val="0"/>
          <w:bCs w:val="0"/>
          <w:color w:val="333333"/>
          <w:kern w:val="0"/>
          <w:sz w:val="21"/>
          <w:szCs w:val="21"/>
          <w:u w:val="none"/>
          <w:lang w:val="en-US" w:eastAsia="zh-CN" w:bidi="ar-SA"/>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default" w:ascii="宋体" w:hAnsi="宋体" w:eastAsia="宋体" w:cs="宋体"/>
          <w:b w:val="0"/>
          <w:bCs w:val="0"/>
          <w:color w:val="333333"/>
          <w:kern w:val="0"/>
          <w:sz w:val="21"/>
          <w:szCs w:val="21"/>
          <w:u w:val="none"/>
          <w:lang w:val="en-US" w:eastAsia="zh-CN" w:bidi="ar-SA"/>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default" w:ascii="宋体" w:hAnsi="宋体" w:eastAsia="宋体" w:cs="宋体"/>
          <w:b w:val="0"/>
          <w:bCs w:val="0"/>
          <w:color w:val="333333"/>
          <w:kern w:val="0"/>
          <w:sz w:val="21"/>
          <w:szCs w:val="21"/>
          <w:u w:val="none"/>
          <w:lang w:val="en-US" w:eastAsia="zh-CN" w:bidi="ar-SA"/>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default" w:ascii="宋体" w:hAnsi="宋体" w:eastAsia="宋体" w:cs="宋体"/>
          <w:b w:val="0"/>
          <w:bCs w:val="0"/>
          <w:color w:val="333333"/>
          <w:kern w:val="0"/>
          <w:sz w:val="21"/>
          <w:szCs w:val="21"/>
          <w:u w:val="none"/>
          <w:lang w:val="en-US" w:eastAsia="zh-CN" w:bidi="ar-SA"/>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outlineLvl w:val="1"/>
        <w:rPr>
          <w:rFonts w:hint="eastAsia" w:ascii="Times New Roman" w:hAnsi="Times New Roman" w:eastAsia="宋体" w:cs="Times New Roman"/>
          <w:b/>
          <w:bCs/>
          <w:i w:val="0"/>
          <w:caps w:val="0"/>
          <w:color w:val="000000"/>
          <w:spacing w:val="0"/>
          <w:kern w:val="44"/>
          <w:sz w:val="28"/>
          <w:szCs w:val="28"/>
          <w:lang w:val="en-US" w:eastAsia="zh-CN" w:bidi="ar-SA"/>
        </w:rPr>
      </w:pPr>
      <w:bookmarkStart w:id="244" w:name="_Toc21900"/>
      <w:r>
        <w:rPr>
          <w:rFonts w:hint="eastAsia" w:ascii="Times New Roman" w:hAnsi="Times New Roman" w:eastAsia="宋体" w:cs="Times New Roman"/>
          <w:b/>
          <w:bCs/>
          <w:i w:val="0"/>
          <w:caps w:val="0"/>
          <w:color w:val="000000"/>
          <w:spacing w:val="0"/>
          <w:kern w:val="44"/>
          <w:sz w:val="28"/>
          <w:szCs w:val="28"/>
          <w:lang w:val="en-US" w:eastAsia="zh-CN" w:bidi="ar-SA"/>
        </w:rPr>
        <w:t>工业和信息化部办公厅 财政部办公厅 海关总署办公厅 税务总局办公厅关于公布享受支持科技创新进口税收政策的国家中小企业公共服务示范平台（技术类）（2019年批次及2017年批次复审合格）名单的通知</w:t>
      </w:r>
      <w:bookmarkEnd w:id="244"/>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outlineLvl w:val="1"/>
        <w:rPr>
          <w:rFonts w:hint="eastAsia" w:ascii="楷体" w:hAnsi="楷体" w:eastAsia="楷体" w:cs="楷体"/>
          <w:color w:val="333333"/>
          <w:sz w:val="24"/>
          <w:szCs w:val="24"/>
          <w:u w:val="none"/>
          <w:lang w:val="en-US" w:eastAsia="zh-CN"/>
        </w:rPr>
      </w:pPr>
      <w:bookmarkStart w:id="245" w:name="_Toc25568"/>
      <w:r>
        <w:rPr>
          <w:rFonts w:hint="eastAsia" w:ascii="楷体" w:hAnsi="楷体" w:eastAsia="楷体" w:cs="楷体"/>
          <w:color w:val="333333"/>
          <w:sz w:val="24"/>
          <w:szCs w:val="24"/>
          <w:u w:val="none"/>
          <w:lang w:val="en-US" w:eastAsia="zh-CN"/>
        </w:rPr>
        <w:t>工信厅联企业〔2019〕77号</w:t>
      </w:r>
      <w:bookmarkEnd w:id="245"/>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Style w:val="24"/>
          <w:rFonts w:hint="eastAsia" w:ascii="宋体" w:hAnsi="宋体" w:eastAsia="宋体" w:cs="宋体"/>
          <w:b w:val="0"/>
          <w:bCs w:val="0"/>
          <w:color w:val="333333"/>
          <w:kern w:val="0"/>
          <w:sz w:val="21"/>
          <w:szCs w:val="21"/>
          <w:u w:val="none"/>
          <w:lang w:val="en-US" w:eastAsia="zh-CN" w:bidi="ar-SA"/>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有关省、直辖市、计划单列市中小企业主管部门、财政厅（局）、税务局，海关总署广东分署，各直属海关：</w:t>
      </w:r>
      <w:r>
        <w:rPr>
          <w:rStyle w:val="24"/>
          <w:rFonts w:hint="eastAsia" w:ascii="宋体" w:hAnsi="宋体" w:eastAsia="宋体" w:cs="宋体"/>
          <w:b w:val="0"/>
          <w:bCs w:val="0"/>
          <w:color w:val="333333"/>
          <w:kern w:val="0"/>
          <w:sz w:val="21"/>
          <w:szCs w:val="21"/>
          <w:u w:val="none"/>
          <w:lang w:val="en-US" w:eastAsia="zh-CN" w:bidi="ar-SA"/>
        </w:rPr>
        <w:br w:type="textWrapping"/>
      </w:r>
      <w:r>
        <w:rPr>
          <w:rStyle w:val="24"/>
          <w:rFonts w:hint="eastAsia" w:ascii="宋体" w:hAnsi="宋体" w:eastAsia="宋体" w:cs="宋体"/>
          <w:b w:val="0"/>
          <w:bCs w:val="0"/>
          <w:color w:val="333333"/>
          <w:kern w:val="0"/>
          <w:sz w:val="21"/>
          <w:szCs w:val="21"/>
          <w:u w:val="none"/>
          <w:lang w:val="en-US" w:eastAsia="zh-CN" w:bidi="ar-SA"/>
        </w:rPr>
        <w:t>  根据支持科技创新进口税收政策的要求，工业和信息化部、财政部、海关总署、税务总局审核确定了享受支持科技创新进口税收政策的国家中小企业公共服务示范平台（技术类）（以下简称示范平台）2019年批次名单和2017年批次复审合格名单，现予以公布。有关事项通知如下：</w:t>
      </w:r>
      <w:r>
        <w:rPr>
          <w:rStyle w:val="24"/>
          <w:rFonts w:hint="eastAsia" w:ascii="宋体" w:hAnsi="宋体" w:eastAsia="宋体" w:cs="宋体"/>
          <w:b w:val="0"/>
          <w:bCs w:val="0"/>
          <w:color w:val="333333"/>
          <w:kern w:val="0"/>
          <w:sz w:val="21"/>
          <w:szCs w:val="21"/>
          <w:u w:val="none"/>
          <w:lang w:val="en-US" w:eastAsia="zh-CN" w:bidi="ar-SA"/>
        </w:rPr>
        <w:br w:type="textWrapping"/>
      </w:r>
      <w:r>
        <w:rPr>
          <w:rStyle w:val="24"/>
          <w:rFonts w:hint="eastAsia" w:ascii="宋体" w:hAnsi="宋体" w:eastAsia="宋体" w:cs="宋体"/>
          <w:b w:val="0"/>
          <w:bCs w:val="0"/>
          <w:color w:val="333333"/>
          <w:kern w:val="0"/>
          <w:sz w:val="21"/>
          <w:szCs w:val="21"/>
          <w:u w:val="none"/>
          <w:lang w:val="en-US" w:eastAsia="zh-CN" w:bidi="ar-SA"/>
        </w:rPr>
        <w:t>  一、同意北京华腾新材料股份有限公司等9家示范平台（名单见附件1），自本通知印发之日起享受支持科技创新进口税收政策。</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二、同意白山市产品质量检验所/国家饮用水产品质量监督检验中心等11家示范平台（名单见附件2）复审合格，继续享受支持科技创新进口税收政策。</w:t>
      </w:r>
      <w:r>
        <w:rPr>
          <w:rStyle w:val="24"/>
          <w:rFonts w:hint="eastAsia" w:ascii="宋体" w:hAnsi="宋体" w:eastAsia="宋体" w:cs="宋体"/>
          <w:b w:val="0"/>
          <w:bCs w:val="0"/>
          <w:color w:val="333333"/>
          <w:kern w:val="0"/>
          <w:sz w:val="21"/>
          <w:szCs w:val="21"/>
          <w:u w:val="none"/>
          <w:lang w:val="en-US" w:eastAsia="zh-CN" w:bidi="ar-SA"/>
        </w:rPr>
        <w:br w:type="textWrapping"/>
      </w:r>
      <w:r>
        <w:rPr>
          <w:rStyle w:val="24"/>
          <w:rFonts w:hint="eastAsia" w:ascii="宋体" w:hAnsi="宋体" w:eastAsia="宋体" w:cs="宋体"/>
          <w:b w:val="0"/>
          <w:bCs w:val="0"/>
          <w:color w:val="333333"/>
          <w:kern w:val="0"/>
          <w:sz w:val="21"/>
          <w:szCs w:val="21"/>
          <w:u w:val="none"/>
          <w:lang w:val="en-US" w:eastAsia="zh-CN" w:bidi="ar-SA"/>
        </w:rPr>
        <w:t>  三、河北清华发展研究院、苏州电器科学研究院股份有限公司、浙江方圆电气设备检测有限公司、滨州市纺织纤维检验所、滨州市产品质量监督检验所、宁波中普检测技术服务有限公司等6家平台未参加复审或复审不合格，自本通知印发之日起，取消其免税资格。</w:t>
      </w:r>
      <w:r>
        <w:rPr>
          <w:rStyle w:val="24"/>
          <w:rFonts w:hint="eastAsia" w:ascii="宋体" w:hAnsi="宋体" w:eastAsia="宋体" w:cs="宋体"/>
          <w:b w:val="0"/>
          <w:bCs w:val="0"/>
          <w:color w:val="333333"/>
          <w:kern w:val="0"/>
          <w:sz w:val="21"/>
          <w:szCs w:val="21"/>
          <w:u w:val="none"/>
          <w:lang w:val="en-US" w:eastAsia="zh-CN" w:bidi="ar-SA"/>
        </w:rPr>
        <w:br w:type="textWrapping"/>
      </w:r>
      <w:r>
        <w:rPr>
          <w:rStyle w:val="24"/>
          <w:rFonts w:hint="eastAsia" w:ascii="宋体" w:hAnsi="宋体" w:eastAsia="宋体" w:cs="宋体"/>
          <w:b w:val="0"/>
          <w:bCs w:val="0"/>
          <w:color w:val="333333"/>
          <w:kern w:val="0"/>
          <w:sz w:val="21"/>
          <w:szCs w:val="21"/>
          <w:u w:val="none"/>
          <w:lang w:val="en-US" w:eastAsia="zh-CN" w:bidi="ar-SA"/>
        </w:rPr>
        <w:t>  四、免税进口科学研究、科技开发和教学用品的具体范围及相关规定，按照《财政部 海关总署 国家税务总局关于“十三五”期间支持科技创新进口税收政策的通知》（财关税〔2016〕70号）、《财政部 教育部 国家发展改革委 科技部 工业和信息化部 民政部 商务部 海关总署 国家税务总局 国家新闻出版广电总局关于支持科技创新进口税收政策管理办法的通知》（财关税〔2016〕71号）、《财政部 海关总署 国家税务总局关于公布进口科学研究 科技开发和教学用品免税清单的通知》（财关税〔2016〕72号）执行，并办理相关手续。</w:t>
      </w:r>
      <w:r>
        <w:rPr>
          <w:rStyle w:val="24"/>
          <w:rFonts w:hint="eastAsia" w:ascii="宋体" w:hAnsi="宋体" w:eastAsia="宋体" w:cs="宋体"/>
          <w:b w:val="0"/>
          <w:bCs w:val="0"/>
          <w:color w:val="333333"/>
          <w:kern w:val="0"/>
          <w:sz w:val="21"/>
          <w:szCs w:val="21"/>
          <w:u w:val="none"/>
          <w:lang w:val="en-US" w:eastAsia="zh-CN" w:bidi="ar-SA"/>
        </w:rPr>
        <w:br w:type="textWrapping"/>
      </w:r>
      <w:r>
        <w:rPr>
          <w:rStyle w:val="24"/>
          <w:rFonts w:hint="eastAsia" w:ascii="宋体" w:hAnsi="宋体" w:eastAsia="宋体" w:cs="宋体"/>
          <w:b w:val="0"/>
          <w:bCs w:val="0"/>
          <w:color w:val="333333"/>
          <w:kern w:val="0"/>
          <w:sz w:val="21"/>
          <w:szCs w:val="21"/>
          <w:u w:val="none"/>
          <w:lang w:val="en-US" w:eastAsia="zh-CN" w:bidi="ar-SA"/>
        </w:rPr>
        <w:t>  五、享受支持科技创新进口税收政策的示范平台要进一步完善服务功能，不断提高服务能力和质量，发挥支撑和示范带动作用，为中小企业提供“及时、价廉、质优”的服务。如存在以虚报情况获得免税资格、偷税、骗税，或者将享受税收优惠政策的进口物资擅自转让、移作他用或进行其他处置的，一经查实将按照财关税〔2016〕70号、财关税〔2016〕71号文件的相关规定处理。</w:t>
      </w:r>
      <w:r>
        <w:rPr>
          <w:rStyle w:val="24"/>
          <w:rFonts w:hint="eastAsia" w:ascii="宋体" w:hAnsi="宋体" w:eastAsia="宋体" w:cs="宋体"/>
          <w:b w:val="0"/>
          <w:bCs w:val="0"/>
          <w:color w:val="333333"/>
          <w:kern w:val="0"/>
          <w:sz w:val="21"/>
          <w:szCs w:val="21"/>
          <w:u w:val="none"/>
          <w:lang w:val="en-US" w:eastAsia="zh-CN" w:bidi="ar-SA"/>
        </w:rPr>
        <w:br w:type="textWrapping"/>
      </w:r>
      <w:r>
        <w:rPr>
          <w:rStyle w:val="24"/>
          <w:rFonts w:hint="eastAsia" w:ascii="宋体" w:hAnsi="宋体" w:eastAsia="宋体" w:cs="宋体"/>
          <w:b w:val="0"/>
          <w:bCs w:val="0"/>
          <w:color w:val="333333"/>
          <w:kern w:val="0"/>
          <w:sz w:val="21"/>
          <w:szCs w:val="21"/>
          <w:u w:val="none"/>
          <w:lang w:val="en-US" w:eastAsia="zh-CN" w:bidi="ar-SA"/>
        </w:rPr>
        <w:t>  六、各地中小企业主管部门要结合政策的执行，对辖区内享受支持科技创新进口税收政策的示范平台的服务业绩、服务质量、服务收费情况及服务对象满意度等进行检查、测评，对政策实施效果进行评价，并做好相关工作总结，于每年2月底前将上一年度示范平台服务情况、支持科技创新进口税收政策执行情况及工作总结报工业和信息化部（中小企业局）。</w:t>
      </w:r>
      <w:r>
        <w:rPr>
          <w:rStyle w:val="24"/>
          <w:rFonts w:hint="eastAsia" w:ascii="宋体" w:hAnsi="宋体" w:eastAsia="宋体" w:cs="宋体"/>
          <w:b w:val="0"/>
          <w:bCs w:val="0"/>
          <w:color w:val="333333"/>
          <w:kern w:val="0"/>
          <w:sz w:val="21"/>
          <w:szCs w:val="21"/>
          <w:u w:val="none"/>
          <w:lang w:val="en-US" w:eastAsia="zh-CN" w:bidi="ar-SA"/>
        </w:rPr>
        <w:br w:type="textWrapping"/>
      </w:r>
      <w:r>
        <w:rPr>
          <w:rStyle w:val="24"/>
          <w:rFonts w:hint="eastAsia" w:ascii="宋体" w:hAnsi="宋体" w:eastAsia="宋体" w:cs="宋体"/>
          <w:b w:val="0"/>
          <w:bCs w:val="0"/>
          <w:color w:val="333333"/>
          <w:kern w:val="0"/>
          <w:sz w:val="21"/>
          <w:szCs w:val="21"/>
          <w:u w:val="none"/>
          <w:lang w:val="en-US" w:eastAsia="zh-CN" w:bidi="ar-SA"/>
        </w:rPr>
        <w:t>  特此通知。</w:t>
      </w:r>
      <w:r>
        <w:rPr>
          <w:rStyle w:val="24"/>
          <w:rFonts w:hint="eastAsia" w:ascii="宋体" w:hAnsi="宋体" w:eastAsia="宋体" w:cs="宋体"/>
          <w:b w:val="0"/>
          <w:bCs w:val="0"/>
          <w:color w:val="333333"/>
          <w:kern w:val="0"/>
          <w:sz w:val="21"/>
          <w:szCs w:val="21"/>
          <w:u w:val="none"/>
          <w:lang w:val="en-US" w:eastAsia="zh-CN" w:bidi="ar-SA"/>
        </w:rPr>
        <w:br w:type="textWrapping"/>
      </w:r>
      <w:r>
        <w:rPr>
          <w:rStyle w:val="24"/>
          <w:rFonts w:hint="eastAsia" w:ascii="宋体" w:hAnsi="宋体" w:eastAsia="宋体" w:cs="宋体"/>
          <w:b w:val="0"/>
          <w:bCs w:val="0"/>
          <w:color w:val="333333"/>
          <w:kern w:val="0"/>
          <w:sz w:val="21"/>
          <w:szCs w:val="21"/>
          <w:u w:val="none"/>
          <w:lang w:val="en-US" w:eastAsia="zh-CN" w:bidi="ar-SA"/>
        </w:rPr>
        <w:br w:type="textWrapping"/>
      </w:r>
      <w:r>
        <w:rPr>
          <w:rStyle w:val="24"/>
          <w:rFonts w:hint="eastAsia" w:ascii="宋体" w:hAnsi="宋体" w:eastAsia="宋体" w:cs="宋体"/>
          <w:b w:val="0"/>
          <w:bCs w:val="0"/>
          <w:color w:val="333333"/>
          <w:kern w:val="0"/>
          <w:sz w:val="21"/>
          <w:szCs w:val="21"/>
          <w:u w:val="none"/>
          <w:lang w:val="en-US" w:eastAsia="zh-CN" w:bidi="ar-SA"/>
        </w:rPr>
        <w:t>　　附件：1.</w:t>
      </w:r>
      <w:r>
        <w:rPr>
          <w:rStyle w:val="24"/>
          <w:rFonts w:hint="eastAsia" w:ascii="宋体" w:hAnsi="宋体" w:eastAsia="宋体" w:cs="宋体"/>
          <w:b w:val="0"/>
          <w:bCs w:val="0"/>
          <w:color w:val="333333"/>
          <w:kern w:val="0"/>
          <w:sz w:val="21"/>
          <w:szCs w:val="21"/>
          <w:u w:val="none"/>
          <w:lang w:val="en-US" w:eastAsia="zh-CN" w:bidi="ar-SA"/>
        </w:rPr>
        <w:fldChar w:fldCharType="begin"/>
      </w:r>
      <w:r>
        <w:rPr>
          <w:rStyle w:val="24"/>
          <w:rFonts w:hint="eastAsia" w:ascii="宋体" w:hAnsi="宋体" w:eastAsia="宋体" w:cs="宋体"/>
          <w:b w:val="0"/>
          <w:bCs w:val="0"/>
          <w:color w:val="333333"/>
          <w:kern w:val="0"/>
          <w:sz w:val="21"/>
          <w:szCs w:val="21"/>
          <w:u w:val="none"/>
          <w:lang w:val="en-US" w:eastAsia="zh-CN" w:bidi="ar-SA"/>
        </w:rPr>
        <w:instrText xml:space="preserve"> HYPERLINK "http://www.miit.gov.cn/n1146285/n1146352/n3054355/n3057527/n3057529/c7572659/part/7573390.wps" </w:instrText>
      </w:r>
      <w:r>
        <w:rPr>
          <w:rStyle w:val="24"/>
          <w:rFonts w:hint="eastAsia" w:ascii="宋体" w:hAnsi="宋体" w:eastAsia="宋体" w:cs="宋体"/>
          <w:b w:val="0"/>
          <w:bCs w:val="0"/>
          <w:color w:val="333333"/>
          <w:kern w:val="0"/>
          <w:sz w:val="21"/>
          <w:szCs w:val="21"/>
          <w:u w:val="none"/>
          <w:lang w:val="en-US" w:eastAsia="zh-CN" w:bidi="ar-SA"/>
        </w:rPr>
        <w:fldChar w:fldCharType="separate"/>
      </w:r>
      <w:r>
        <w:rPr>
          <w:rStyle w:val="24"/>
          <w:rFonts w:hint="eastAsia" w:ascii="宋体" w:hAnsi="宋体" w:eastAsia="宋体" w:cs="宋体"/>
          <w:b w:val="0"/>
          <w:bCs w:val="0"/>
          <w:color w:val="333333"/>
          <w:kern w:val="0"/>
          <w:sz w:val="21"/>
          <w:szCs w:val="21"/>
          <w:u w:val="none"/>
          <w:lang w:val="en-US" w:eastAsia="zh-CN" w:bidi="ar-SA"/>
        </w:rPr>
        <w:t>享受支持科技创新进口税收政策的国家中小企业公共服务示范平台（技术类）（2019年批次）名单</w:t>
      </w:r>
      <w:r>
        <w:rPr>
          <w:rStyle w:val="24"/>
          <w:rFonts w:hint="eastAsia" w:ascii="宋体" w:hAnsi="宋体" w:eastAsia="宋体" w:cs="宋体"/>
          <w:b w:val="0"/>
          <w:bCs w:val="0"/>
          <w:color w:val="333333"/>
          <w:kern w:val="0"/>
          <w:sz w:val="21"/>
          <w:szCs w:val="21"/>
          <w:u w:val="none"/>
          <w:lang w:val="en-US" w:eastAsia="zh-CN" w:bidi="ar-SA"/>
        </w:rPr>
        <w:fldChar w:fldCharType="end"/>
      </w:r>
      <w:r>
        <w:rPr>
          <w:rStyle w:val="24"/>
          <w:rFonts w:hint="eastAsia" w:ascii="宋体" w:hAnsi="宋体" w:eastAsia="宋体" w:cs="宋体"/>
          <w:b w:val="0"/>
          <w:bCs w:val="0"/>
          <w:color w:val="333333"/>
          <w:kern w:val="0"/>
          <w:sz w:val="21"/>
          <w:szCs w:val="21"/>
          <w:u w:val="none"/>
          <w:lang w:val="en-US" w:eastAsia="zh-CN" w:bidi="ar-SA"/>
        </w:rPr>
        <w:t>  </w:t>
      </w:r>
      <w:r>
        <w:rPr>
          <w:rStyle w:val="24"/>
          <w:rFonts w:hint="eastAsia" w:ascii="宋体" w:hAnsi="宋体" w:eastAsia="宋体" w:cs="宋体"/>
          <w:b w:val="0"/>
          <w:bCs w:val="0"/>
          <w:color w:val="333333"/>
          <w:kern w:val="0"/>
          <w:sz w:val="21"/>
          <w:szCs w:val="21"/>
          <w:u w:val="none"/>
          <w:lang w:val="en-US" w:eastAsia="zh-CN" w:bidi="ar-SA"/>
        </w:rPr>
        <w:br w:type="textWrapping"/>
      </w:r>
      <w:r>
        <w:rPr>
          <w:rStyle w:val="24"/>
          <w:rFonts w:hint="eastAsia" w:ascii="宋体" w:hAnsi="宋体" w:eastAsia="宋体" w:cs="宋体"/>
          <w:b w:val="0"/>
          <w:bCs w:val="0"/>
          <w:color w:val="333333"/>
          <w:kern w:val="0"/>
          <w:sz w:val="21"/>
          <w:szCs w:val="21"/>
          <w:u w:val="none"/>
          <w:lang w:val="en-US" w:eastAsia="zh-CN" w:bidi="ar-SA"/>
        </w:rPr>
        <w:t>  </w:t>
      </w:r>
      <w:r>
        <w:rPr>
          <w:rStyle w:val="24"/>
          <w:rFonts w:hint="eastAsia" w:cs="宋体"/>
          <w:b w:val="0"/>
          <w:bCs w:val="0"/>
          <w:color w:val="333333"/>
          <w:kern w:val="0"/>
          <w:sz w:val="21"/>
          <w:szCs w:val="21"/>
          <w:u w:val="none"/>
          <w:lang w:val="en-US" w:eastAsia="zh-CN" w:bidi="ar-SA"/>
        </w:rPr>
        <w:t xml:space="preserve">      </w:t>
      </w:r>
      <w:r>
        <w:rPr>
          <w:rStyle w:val="24"/>
          <w:rFonts w:hint="eastAsia" w:ascii="宋体" w:hAnsi="宋体" w:eastAsia="宋体" w:cs="宋体"/>
          <w:b w:val="0"/>
          <w:bCs w:val="0"/>
          <w:color w:val="333333"/>
          <w:kern w:val="0"/>
          <w:sz w:val="21"/>
          <w:szCs w:val="21"/>
          <w:u w:val="none"/>
          <w:lang w:val="en-US" w:eastAsia="zh-CN" w:bidi="ar-SA"/>
        </w:rPr>
        <w:t>2.</w:t>
      </w:r>
      <w:r>
        <w:rPr>
          <w:rStyle w:val="24"/>
          <w:rFonts w:hint="eastAsia" w:ascii="宋体" w:hAnsi="宋体" w:eastAsia="宋体" w:cs="宋体"/>
          <w:b w:val="0"/>
          <w:bCs w:val="0"/>
          <w:color w:val="333333"/>
          <w:kern w:val="0"/>
          <w:sz w:val="21"/>
          <w:szCs w:val="21"/>
          <w:u w:val="none"/>
          <w:lang w:val="en-US" w:eastAsia="zh-CN" w:bidi="ar-SA"/>
        </w:rPr>
        <w:fldChar w:fldCharType="begin"/>
      </w:r>
      <w:r>
        <w:rPr>
          <w:rStyle w:val="24"/>
          <w:rFonts w:hint="eastAsia" w:ascii="宋体" w:hAnsi="宋体" w:eastAsia="宋体" w:cs="宋体"/>
          <w:b w:val="0"/>
          <w:bCs w:val="0"/>
          <w:color w:val="333333"/>
          <w:kern w:val="0"/>
          <w:sz w:val="21"/>
          <w:szCs w:val="21"/>
          <w:u w:val="none"/>
          <w:lang w:val="en-US" w:eastAsia="zh-CN" w:bidi="ar-SA"/>
        </w:rPr>
        <w:instrText xml:space="preserve"> HYPERLINK "http://www.miit.gov.cn/n1146285/n1146352/n3054355/n3057527/n3057529/c7572659/part/7572675.wps" </w:instrText>
      </w:r>
      <w:r>
        <w:rPr>
          <w:rStyle w:val="24"/>
          <w:rFonts w:hint="eastAsia" w:ascii="宋体" w:hAnsi="宋体" w:eastAsia="宋体" w:cs="宋体"/>
          <w:b w:val="0"/>
          <w:bCs w:val="0"/>
          <w:color w:val="333333"/>
          <w:kern w:val="0"/>
          <w:sz w:val="21"/>
          <w:szCs w:val="21"/>
          <w:u w:val="none"/>
          <w:lang w:val="en-US" w:eastAsia="zh-CN" w:bidi="ar-SA"/>
        </w:rPr>
        <w:fldChar w:fldCharType="separate"/>
      </w:r>
      <w:r>
        <w:rPr>
          <w:rStyle w:val="24"/>
          <w:rFonts w:hint="eastAsia" w:ascii="宋体" w:hAnsi="宋体" w:eastAsia="宋体" w:cs="宋体"/>
          <w:b w:val="0"/>
          <w:bCs w:val="0"/>
          <w:color w:val="333333"/>
          <w:kern w:val="0"/>
          <w:sz w:val="21"/>
          <w:szCs w:val="21"/>
          <w:u w:val="none"/>
          <w:lang w:val="en-US" w:eastAsia="zh-CN" w:bidi="ar-SA"/>
        </w:rPr>
        <w:t>享受支持科技创新进口税收政策的国家中小企业公共服务示范平台（技术类）（2017年批次）复审合格名单</w:t>
      </w:r>
      <w:r>
        <w:rPr>
          <w:rStyle w:val="24"/>
          <w:rFonts w:hint="eastAsia" w:ascii="宋体" w:hAnsi="宋体" w:eastAsia="宋体" w:cs="宋体"/>
          <w:b w:val="0"/>
          <w:bCs w:val="0"/>
          <w:color w:val="333333"/>
          <w:kern w:val="0"/>
          <w:sz w:val="21"/>
          <w:szCs w:val="21"/>
          <w:u w:val="none"/>
          <w:lang w:val="en-US" w:eastAsia="zh-CN" w:bidi="ar-SA"/>
        </w:rPr>
        <w:fldChar w:fldCharType="end"/>
      </w:r>
      <w:r>
        <w:rPr>
          <w:rStyle w:val="24"/>
          <w:rFonts w:hint="eastAsia" w:ascii="宋体" w:hAnsi="宋体" w:eastAsia="宋体" w:cs="宋体"/>
          <w:b w:val="0"/>
          <w:bCs w:val="0"/>
          <w:color w:val="333333"/>
          <w:kern w:val="0"/>
          <w:sz w:val="21"/>
          <w:szCs w:val="21"/>
          <w:u w:val="none"/>
          <w:lang w:val="en-US" w:eastAsia="zh-CN" w:bidi="ar-SA"/>
        </w:rPr>
        <w:t>　　</w:t>
      </w:r>
      <w:r>
        <w:rPr>
          <w:rStyle w:val="24"/>
          <w:rFonts w:hint="eastAsia" w:ascii="宋体" w:hAnsi="宋体" w:eastAsia="宋体" w:cs="宋体"/>
          <w:b w:val="0"/>
          <w:bCs w:val="0"/>
          <w:color w:val="333333"/>
          <w:kern w:val="0"/>
          <w:sz w:val="21"/>
          <w:szCs w:val="21"/>
          <w:u w:val="none"/>
          <w:lang w:val="en-US" w:eastAsia="zh-CN" w:bidi="ar-SA"/>
        </w:rPr>
        <w:br w:type="textWrapping"/>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工业和信息化部办公厅</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财政部办公厅 </w:t>
      </w:r>
      <w:r>
        <w:rPr>
          <w:rStyle w:val="24"/>
          <w:rFonts w:hint="eastAsia" w:ascii="宋体" w:hAnsi="宋体" w:eastAsia="宋体" w:cs="宋体"/>
          <w:b w:val="0"/>
          <w:bCs w:val="0"/>
          <w:color w:val="333333"/>
          <w:kern w:val="0"/>
          <w:sz w:val="21"/>
          <w:szCs w:val="21"/>
          <w:u w:val="none"/>
          <w:lang w:val="en-US" w:eastAsia="zh-CN" w:bidi="ar-SA"/>
        </w:rPr>
        <w:br w:type="textWrapping"/>
      </w:r>
      <w:r>
        <w:rPr>
          <w:rStyle w:val="24"/>
          <w:rFonts w:hint="eastAsia" w:ascii="宋体" w:hAnsi="宋体" w:eastAsia="宋体" w:cs="宋体"/>
          <w:b w:val="0"/>
          <w:bCs w:val="0"/>
          <w:color w:val="333333"/>
          <w:kern w:val="0"/>
          <w:sz w:val="21"/>
          <w:szCs w:val="21"/>
          <w:u w:val="none"/>
          <w:lang w:val="en-US" w:eastAsia="zh-CN" w:bidi="ar-SA"/>
        </w:rPr>
        <w:t>  海关总署办公厅</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税务总局办公厅</w:t>
      </w:r>
      <w:r>
        <w:rPr>
          <w:rStyle w:val="24"/>
          <w:rFonts w:hint="eastAsia" w:ascii="宋体" w:hAnsi="宋体" w:eastAsia="宋体" w:cs="宋体"/>
          <w:b w:val="0"/>
          <w:bCs w:val="0"/>
          <w:color w:val="333333"/>
          <w:kern w:val="0"/>
          <w:sz w:val="21"/>
          <w:szCs w:val="21"/>
          <w:u w:val="none"/>
          <w:lang w:val="en-US" w:eastAsia="zh-CN" w:bidi="ar-SA"/>
        </w:rPr>
        <w:br w:type="textWrapping"/>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2019年11月11日</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default" w:ascii="宋体" w:hAnsi="宋体" w:eastAsia="宋体" w:cs="宋体"/>
          <w:b w:val="0"/>
          <w:bCs w:val="0"/>
          <w:color w:val="333333"/>
          <w:kern w:val="0"/>
          <w:sz w:val="21"/>
          <w:szCs w:val="21"/>
          <w:u w:val="none"/>
          <w:lang w:val="en-US" w:eastAsia="zh-CN" w:bidi="ar-SA"/>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default" w:ascii="宋体" w:hAnsi="宋体" w:eastAsia="宋体" w:cs="宋体"/>
          <w:b w:val="0"/>
          <w:bCs w:val="0"/>
          <w:color w:val="333333"/>
          <w:kern w:val="0"/>
          <w:sz w:val="21"/>
          <w:szCs w:val="21"/>
          <w:u w:val="none"/>
          <w:lang w:val="en-US" w:eastAsia="zh-CN" w:bidi="ar-SA"/>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default" w:ascii="宋体" w:hAnsi="宋体" w:eastAsia="宋体" w:cs="宋体"/>
          <w:b w:val="0"/>
          <w:bCs w:val="0"/>
          <w:color w:val="333333"/>
          <w:kern w:val="0"/>
          <w:sz w:val="21"/>
          <w:szCs w:val="21"/>
          <w:u w:val="none"/>
          <w:lang w:val="en-US" w:eastAsia="zh-CN" w:bidi="ar-SA"/>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default" w:ascii="宋体" w:hAnsi="宋体" w:eastAsia="宋体" w:cs="宋体"/>
          <w:b w:val="0"/>
          <w:bCs w:val="0"/>
          <w:color w:val="333333"/>
          <w:kern w:val="0"/>
          <w:sz w:val="21"/>
          <w:szCs w:val="21"/>
          <w:u w:val="none"/>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outlineLvl w:val="1"/>
        <w:rPr>
          <w:i w:val="0"/>
          <w:sz w:val="28"/>
          <w:szCs w:val="28"/>
        </w:rPr>
      </w:pPr>
      <w:bookmarkStart w:id="246" w:name="_Toc22569"/>
      <w:r>
        <w:rPr>
          <w:i w:val="0"/>
          <w:caps w:val="0"/>
          <w:color w:val="000000"/>
          <w:spacing w:val="0"/>
          <w:sz w:val="28"/>
          <w:szCs w:val="28"/>
          <w:bdr w:val="none" w:color="auto" w:sz="0" w:space="0"/>
        </w:rPr>
        <w:t>工业和信息化部关于公布2019年度国家中小企业公共服务示范平台名单的通告</w:t>
      </w:r>
      <w:bookmarkEnd w:id="246"/>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50"/>
        <w:jc w:val="left"/>
        <w:textAlignment w:val="auto"/>
        <w:rPr>
          <w:rFonts w:ascii="Arial" w:hAnsi="Arial" w:eastAsia="宋体" w:cs="Arial"/>
          <w:i w:val="0"/>
          <w:caps w:val="0"/>
          <w:color w:val="070707"/>
          <w:spacing w:val="0"/>
          <w:kern w:val="0"/>
          <w:sz w:val="16"/>
          <w:szCs w:val="16"/>
          <w:bdr w:val="none" w:color="auto" w:sz="0" w:space="0"/>
          <w:lang w:val="en-US" w:eastAsia="zh-CN" w:bidi="ar"/>
        </w:rPr>
      </w:pPr>
      <w:r>
        <w:rPr>
          <w:rFonts w:ascii="Arial" w:hAnsi="Arial" w:eastAsia="宋体" w:cs="Arial"/>
          <w:i w:val="0"/>
          <w:caps w:val="0"/>
          <w:color w:val="070707"/>
          <w:spacing w:val="0"/>
          <w:kern w:val="0"/>
          <w:sz w:val="16"/>
          <w:szCs w:val="16"/>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525" w:firstLineChars="250"/>
        <w:jc w:val="lef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为贯彻落实中共中央办公厅、国务院办公厅《关于促进中小企业健康发展的指导意见》，按照《国家中小企业公共服务示范平台认定管理办法》（工信部企业〔2017〕156号）和《关于推荐2019年度国家中小企业公共服务示范平台的通知》（工企业函〔2019〕310号），经省级中小企业主管部门和有关行业协会推荐、专家评审和公示，确定了2019年度国家中小企业公共服务示范平台（以下简称示范平台）名单。有关事项通告如下：</w:t>
      </w:r>
      <w:r>
        <w:rPr>
          <w:rStyle w:val="24"/>
          <w:rFonts w:hint="default" w:ascii="宋体" w:hAnsi="宋体" w:eastAsia="宋体" w:cs="宋体"/>
          <w:b w:val="0"/>
          <w:bCs w:val="0"/>
          <w:color w:val="333333"/>
          <w:kern w:val="0"/>
          <w:sz w:val="21"/>
          <w:szCs w:val="21"/>
          <w:u w:val="none"/>
          <w:lang w:val="en-US" w:eastAsia="zh-CN" w:bidi="ar-SA"/>
        </w:rPr>
        <w:br w:type="textWrapping"/>
      </w:r>
      <w:r>
        <w:rPr>
          <w:rStyle w:val="24"/>
          <w:rFonts w:hint="default" w:ascii="宋体" w:hAnsi="宋体" w:eastAsia="宋体" w:cs="宋体"/>
          <w:b w:val="0"/>
          <w:bCs w:val="0"/>
          <w:color w:val="333333"/>
          <w:kern w:val="0"/>
          <w:sz w:val="21"/>
          <w:szCs w:val="21"/>
          <w:u w:val="none"/>
          <w:lang w:val="en-US" w:eastAsia="zh-CN" w:bidi="ar-SA"/>
        </w:rPr>
        <w:t>　　一、同意授予北京中关村软件园发展有限责任公司、谱尼测试科技（天津）有限公司、衡水煜荣商贸有限公司等197个平台“国家中小企业公共服务示范平台”称号（具体名单见附件）。</w:t>
      </w:r>
      <w:r>
        <w:rPr>
          <w:rStyle w:val="24"/>
          <w:rFonts w:hint="default" w:ascii="宋体" w:hAnsi="宋体" w:eastAsia="宋体" w:cs="宋体"/>
          <w:b w:val="0"/>
          <w:bCs w:val="0"/>
          <w:color w:val="333333"/>
          <w:kern w:val="0"/>
          <w:sz w:val="21"/>
          <w:szCs w:val="21"/>
          <w:u w:val="none"/>
          <w:lang w:val="en-US" w:eastAsia="zh-CN" w:bidi="ar-SA"/>
        </w:rPr>
        <w:br w:type="textWrapping"/>
      </w:r>
      <w:r>
        <w:rPr>
          <w:rStyle w:val="24"/>
          <w:rFonts w:hint="default" w:ascii="宋体" w:hAnsi="宋体" w:eastAsia="宋体" w:cs="宋体"/>
          <w:b w:val="0"/>
          <w:bCs w:val="0"/>
          <w:color w:val="333333"/>
          <w:kern w:val="0"/>
          <w:sz w:val="21"/>
          <w:szCs w:val="21"/>
          <w:u w:val="none"/>
          <w:lang w:val="en-US" w:eastAsia="zh-CN" w:bidi="ar-SA"/>
        </w:rPr>
        <w:t>　　二、示范平台要在现有基础上进一步完善服务功能，提高服务水平，不断提升组织带动社会服务资源能力，主动开展公益性服务，积极承担政府部门委托的各项任务，在解决中小企业共性需求、畅通信息渠道、改善经营管理、提高发展质量、增强市场竞争力、实现创新发展等方面发挥好支撑和示范带动作用。</w:t>
      </w:r>
      <w:r>
        <w:rPr>
          <w:rStyle w:val="24"/>
          <w:rFonts w:hint="default" w:ascii="宋体" w:hAnsi="宋体" w:eastAsia="宋体" w:cs="宋体"/>
          <w:b w:val="0"/>
          <w:bCs w:val="0"/>
          <w:color w:val="333333"/>
          <w:kern w:val="0"/>
          <w:sz w:val="21"/>
          <w:szCs w:val="21"/>
          <w:u w:val="none"/>
          <w:lang w:val="en-US" w:eastAsia="zh-CN" w:bidi="ar-SA"/>
        </w:rPr>
        <w:br w:type="textWrapping"/>
      </w:r>
      <w:r>
        <w:rPr>
          <w:rStyle w:val="24"/>
          <w:rFonts w:hint="default" w:ascii="宋体" w:hAnsi="宋体" w:eastAsia="宋体" w:cs="宋体"/>
          <w:b w:val="0"/>
          <w:bCs w:val="0"/>
          <w:color w:val="333333"/>
          <w:kern w:val="0"/>
          <w:sz w:val="21"/>
          <w:szCs w:val="21"/>
          <w:u w:val="none"/>
          <w:lang w:val="en-US" w:eastAsia="zh-CN" w:bidi="ar-SA"/>
        </w:rPr>
        <w:t>　　三、各地中小企业主管部门和相关行业协会要在认真总结经验的基础上，扎实推进中小企业公共服务平台建设，结合本地区、本行业实际情况，做好省级及行业协会中小企业公共服务示范平台的培育和认定工作。</w:t>
      </w:r>
      <w:r>
        <w:rPr>
          <w:rStyle w:val="24"/>
          <w:rFonts w:hint="default" w:ascii="宋体" w:hAnsi="宋体" w:eastAsia="宋体" w:cs="宋体"/>
          <w:b w:val="0"/>
          <w:bCs w:val="0"/>
          <w:color w:val="333333"/>
          <w:kern w:val="0"/>
          <w:sz w:val="21"/>
          <w:szCs w:val="21"/>
          <w:u w:val="none"/>
          <w:lang w:val="en-US" w:eastAsia="zh-CN" w:bidi="ar-SA"/>
        </w:rPr>
        <w:br w:type="textWrapping"/>
      </w:r>
      <w:r>
        <w:rPr>
          <w:rStyle w:val="24"/>
          <w:rFonts w:hint="default" w:ascii="宋体" w:hAnsi="宋体" w:eastAsia="宋体" w:cs="宋体"/>
          <w:b w:val="0"/>
          <w:bCs w:val="0"/>
          <w:color w:val="333333"/>
          <w:kern w:val="0"/>
          <w:sz w:val="21"/>
          <w:szCs w:val="21"/>
          <w:u w:val="none"/>
          <w:lang w:val="en-US" w:eastAsia="zh-CN" w:bidi="ar-SA"/>
        </w:rPr>
        <w:t>　　四、各地中小企业主管部门要切实履行监督检查职责，定期对辖区内示范平台的服务质量、服务收费情况、服务满意度等情况进行检查，并做好示范平台年度工作总结和检查情况报告。工业和信息化部将委托第三方机构组织专家不定期对示范平台服务情况进行测评，测评不合格的撤销示范平台称号。</w:t>
      </w:r>
      <w:r>
        <w:rPr>
          <w:rStyle w:val="24"/>
          <w:rFonts w:hint="default" w:ascii="宋体" w:hAnsi="宋体" w:eastAsia="宋体" w:cs="宋体"/>
          <w:b w:val="0"/>
          <w:bCs w:val="0"/>
          <w:color w:val="333333"/>
          <w:kern w:val="0"/>
          <w:sz w:val="21"/>
          <w:szCs w:val="21"/>
          <w:u w:val="none"/>
          <w:lang w:val="en-US" w:eastAsia="zh-CN" w:bidi="ar-SA"/>
        </w:rPr>
        <w:br w:type="textWrapping"/>
      </w:r>
      <w:r>
        <w:rPr>
          <w:rStyle w:val="24"/>
          <w:rFonts w:hint="default" w:ascii="宋体" w:hAnsi="宋体" w:eastAsia="宋体" w:cs="宋体"/>
          <w:b w:val="0"/>
          <w:bCs w:val="0"/>
          <w:color w:val="333333"/>
          <w:kern w:val="0"/>
          <w:sz w:val="21"/>
          <w:szCs w:val="21"/>
          <w:u w:val="none"/>
          <w:lang w:val="en-US" w:eastAsia="zh-CN" w:bidi="ar-SA"/>
        </w:rPr>
        <w:t>　　五、示范平台认定有效期三年，有效期为2020年1月1日至2022年12月31日。</w:t>
      </w:r>
      <w:r>
        <w:rPr>
          <w:rStyle w:val="24"/>
          <w:rFonts w:hint="default" w:ascii="宋体" w:hAnsi="宋体" w:eastAsia="宋体" w:cs="宋体"/>
          <w:b w:val="0"/>
          <w:bCs w:val="0"/>
          <w:color w:val="333333"/>
          <w:kern w:val="0"/>
          <w:sz w:val="21"/>
          <w:szCs w:val="21"/>
          <w:u w:val="none"/>
          <w:lang w:val="en-US" w:eastAsia="zh-CN" w:bidi="ar-SA"/>
        </w:rPr>
        <w:br w:type="textWrapping"/>
      </w:r>
      <w:r>
        <w:rPr>
          <w:rStyle w:val="24"/>
          <w:rFonts w:hint="default" w:ascii="宋体" w:hAnsi="宋体" w:eastAsia="宋体" w:cs="宋体"/>
          <w:b w:val="0"/>
          <w:bCs w:val="0"/>
          <w:color w:val="333333"/>
          <w:kern w:val="0"/>
          <w:sz w:val="21"/>
          <w:szCs w:val="21"/>
          <w:u w:val="none"/>
          <w:lang w:val="en-US" w:eastAsia="zh-CN" w:bidi="ar-SA"/>
        </w:rPr>
        <w:t>　　六、2016年通过复核但未在此通告名单内的示范平台，有效期至2019年12月31日。</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　　附件：</w:t>
      </w:r>
      <w:r>
        <w:rPr>
          <w:rStyle w:val="24"/>
          <w:rFonts w:hint="default" w:ascii="宋体" w:hAnsi="宋体" w:eastAsia="宋体" w:cs="宋体"/>
          <w:b w:val="0"/>
          <w:bCs w:val="0"/>
          <w:color w:val="333333"/>
          <w:kern w:val="0"/>
          <w:sz w:val="21"/>
          <w:szCs w:val="21"/>
          <w:u w:val="none"/>
          <w:lang w:val="en-US" w:eastAsia="zh-CN" w:bidi="ar-SA"/>
        </w:rPr>
        <w:fldChar w:fldCharType="begin"/>
      </w:r>
      <w:r>
        <w:rPr>
          <w:rStyle w:val="24"/>
          <w:rFonts w:hint="default" w:ascii="宋体" w:hAnsi="宋体" w:eastAsia="宋体" w:cs="宋体"/>
          <w:b w:val="0"/>
          <w:bCs w:val="0"/>
          <w:color w:val="333333"/>
          <w:kern w:val="0"/>
          <w:sz w:val="21"/>
          <w:szCs w:val="21"/>
          <w:u w:val="none"/>
          <w:lang w:val="en-US" w:eastAsia="zh-CN" w:bidi="ar-SA"/>
        </w:rPr>
        <w:instrText xml:space="preserve"> HYPERLINK "http://www.miit.gov.cn/n1146285/n1146352/n3054355/n3057527/n3057529/c7557666/part/7557681.et" </w:instrText>
      </w:r>
      <w:r>
        <w:rPr>
          <w:rStyle w:val="24"/>
          <w:rFonts w:hint="default" w:ascii="宋体" w:hAnsi="宋体" w:eastAsia="宋体" w:cs="宋体"/>
          <w:b w:val="0"/>
          <w:bCs w:val="0"/>
          <w:color w:val="333333"/>
          <w:kern w:val="0"/>
          <w:sz w:val="21"/>
          <w:szCs w:val="21"/>
          <w:u w:val="none"/>
          <w:lang w:val="en-US" w:eastAsia="zh-CN" w:bidi="ar-SA"/>
        </w:rPr>
        <w:fldChar w:fldCharType="separate"/>
      </w:r>
      <w:r>
        <w:rPr>
          <w:rStyle w:val="24"/>
          <w:rFonts w:hint="default" w:ascii="宋体" w:hAnsi="宋体" w:eastAsia="宋体" w:cs="宋体"/>
          <w:b w:val="0"/>
          <w:bCs w:val="0"/>
          <w:color w:val="333333"/>
          <w:kern w:val="0"/>
          <w:sz w:val="21"/>
          <w:szCs w:val="21"/>
          <w:u w:val="none"/>
          <w:lang w:val="en-US" w:eastAsia="zh-CN" w:bidi="ar-SA"/>
        </w:rPr>
        <w:t>2019年度国家中小企业公共服务示范平台名单</w:t>
      </w:r>
      <w:r>
        <w:rPr>
          <w:rStyle w:val="24"/>
          <w:rFonts w:hint="default" w:ascii="宋体" w:hAnsi="宋体" w:eastAsia="宋体" w:cs="宋体"/>
          <w:b w:val="0"/>
          <w:bCs w:val="0"/>
          <w:color w:val="333333"/>
          <w:kern w:val="0"/>
          <w:sz w:val="21"/>
          <w:szCs w:val="21"/>
          <w:u w:val="none"/>
          <w:lang w:val="en-US" w:eastAsia="zh-CN" w:bidi="ar-SA"/>
        </w:rPr>
        <w:fldChar w:fldCharType="end"/>
      </w:r>
      <w:r>
        <w:rPr>
          <w:rStyle w:val="24"/>
          <w:rFonts w:hint="default" w:ascii="宋体" w:hAnsi="宋体" w:eastAsia="宋体" w:cs="宋体"/>
          <w:b w:val="0"/>
          <w:bCs w:val="0"/>
          <w:color w:val="333333"/>
          <w:kern w:val="0"/>
          <w:sz w:val="21"/>
          <w:szCs w:val="21"/>
          <w:u w:val="none"/>
          <w:lang w:val="en-US" w:eastAsia="zh-CN" w:bidi="ar-SA"/>
        </w:rPr>
        <w:t>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525" w:firstLineChars="250"/>
        <w:jc w:val="righ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 xml:space="preserve">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525" w:firstLineChars="250"/>
        <w:jc w:val="righ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工业和信息化部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525" w:firstLineChars="250"/>
        <w:jc w:val="righ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2019年11月26日</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default" w:ascii="宋体" w:hAnsi="宋体" w:eastAsia="宋体" w:cs="宋体"/>
          <w:b w:val="0"/>
          <w:bCs w:val="0"/>
          <w:color w:val="333333"/>
          <w:kern w:val="0"/>
          <w:sz w:val="21"/>
          <w:szCs w:val="21"/>
          <w:u w:val="none"/>
          <w:lang w:val="en-US" w:eastAsia="zh-CN" w:bidi="ar-SA"/>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default" w:ascii="宋体" w:hAnsi="宋体" w:eastAsia="宋体" w:cs="宋体"/>
          <w:b w:val="0"/>
          <w:bCs w:val="0"/>
          <w:color w:val="333333"/>
          <w:kern w:val="0"/>
          <w:sz w:val="21"/>
          <w:szCs w:val="21"/>
          <w:u w:val="none"/>
          <w:lang w:val="en-US" w:eastAsia="zh-CN" w:bidi="ar-SA"/>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default" w:ascii="宋体" w:hAnsi="宋体" w:eastAsia="宋体" w:cs="宋体"/>
          <w:b w:val="0"/>
          <w:bCs w:val="0"/>
          <w:color w:val="333333"/>
          <w:kern w:val="0"/>
          <w:sz w:val="21"/>
          <w:szCs w:val="21"/>
          <w:u w:val="none"/>
          <w:lang w:val="en-US" w:eastAsia="zh-CN" w:bidi="ar-SA"/>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default" w:ascii="宋体" w:hAnsi="宋体" w:eastAsia="宋体" w:cs="宋体"/>
          <w:b w:val="0"/>
          <w:bCs w:val="0"/>
          <w:color w:val="333333"/>
          <w:kern w:val="0"/>
          <w:sz w:val="21"/>
          <w:szCs w:val="21"/>
          <w:u w:val="none"/>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outlineLvl w:val="1"/>
        <w:rPr>
          <w:i w:val="0"/>
          <w:caps w:val="0"/>
          <w:color w:val="000000"/>
          <w:spacing w:val="0"/>
          <w:sz w:val="28"/>
          <w:szCs w:val="28"/>
        </w:rPr>
      </w:pPr>
      <w:bookmarkStart w:id="247" w:name="_Toc32372"/>
      <w:r>
        <w:rPr>
          <w:i w:val="0"/>
          <w:caps w:val="0"/>
          <w:color w:val="000000"/>
          <w:spacing w:val="0"/>
          <w:sz w:val="28"/>
          <w:szCs w:val="28"/>
        </w:rPr>
        <w:t>关于调整完善增值税留抵退税地方分担机制</w:t>
      </w:r>
      <w:r>
        <w:rPr>
          <w:i w:val="0"/>
          <w:caps w:val="0"/>
          <w:color w:val="000000"/>
          <w:spacing w:val="0"/>
          <w:sz w:val="28"/>
          <w:szCs w:val="28"/>
        </w:rPr>
        <w:br w:type="textWrapping"/>
      </w:r>
      <w:r>
        <w:rPr>
          <w:i w:val="0"/>
          <w:caps w:val="0"/>
          <w:color w:val="000000"/>
          <w:spacing w:val="0"/>
          <w:sz w:val="28"/>
          <w:szCs w:val="28"/>
        </w:rPr>
        <w:t>及预算管理有关事项的通知</w:t>
      </w:r>
      <w:bookmarkEnd w:id="247"/>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outlineLvl w:val="1"/>
        <w:rPr>
          <w:rFonts w:hint="eastAsia" w:ascii="楷体" w:hAnsi="楷体" w:eastAsia="楷体" w:cs="楷体"/>
          <w:color w:val="333333"/>
          <w:sz w:val="24"/>
          <w:szCs w:val="24"/>
          <w:u w:val="none"/>
          <w:lang w:val="en-US" w:eastAsia="zh-CN"/>
        </w:rPr>
      </w:pPr>
      <w:bookmarkStart w:id="248" w:name="_Toc8016"/>
      <w:r>
        <w:rPr>
          <w:rFonts w:hint="eastAsia" w:ascii="楷体" w:hAnsi="楷体" w:eastAsia="楷体" w:cs="楷体"/>
          <w:color w:val="333333"/>
          <w:sz w:val="24"/>
          <w:szCs w:val="24"/>
          <w:u w:val="none"/>
          <w:lang w:val="en-US" w:eastAsia="zh-CN"/>
        </w:rPr>
        <w:t>财预〔2019〕205号</w:t>
      </w:r>
      <w:bookmarkEnd w:id="248"/>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Style w:val="24"/>
          <w:rFonts w:hint="eastAsia" w:ascii="宋体" w:hAnsi="宋体" w:eastAsia="宋体" w:cs="宋体"/>
          <w:b w:val="0"/>
          <w:bCs w:val="0"/>
          <w:color w:val="333333"/>
          <w:kern w:val="0"/>
          <w:sz w:val="21"/>
          <w:szCs w:val="21"/>
          <w:u w:val="none"/>
          <w:lang w:val="en-US" w:eastAsia="zh-CN" w:bidi="ar-SA"/>
        </w:rPr>
      </w:pP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各省、自治区、直辖市、计划单列市财政厅（局），新疆生产建设兵团财政局，财政部各地监管局，国家税务总局各省、自治区、直辖市、计划单列市税务局，中国人民银行上海总部、各分行、营业管理部，各省会（首府）城市中心支行，各副省级城市中心支行：</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根据《国务院关于印发实施更大规模减税降费后调整中央与地方收入划分改革推进方案的通知》（国发〔2019〕21号）的有关规定，现将调整完善增值税留抵退税地方分担机制及预算管理的有关事项通知如下：</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黑体" w:hAnsi="黑体" w:eastAsia="黑体" w:cs="黑体"/>
          <w:b w:val="0"/>
          <w:bCs w:val="0"/>
          <w:color w:val="333333"/>
          <w:kern w:val="0"/>
          <w:sz w:val="21"/>
          <w:szCs w:val="21"/>
          <w:u w:val="none"/>
          <w:lang w:val="en-US" w:eastAsia="zh-CN" w:bidi="ar-SA"/>
        </w:rPr>
      </w:pPr>
      <w:r>
        <w:rPr>
          <w:rStyle w:val="24"/>
          <w:rFonts w:hint="eastAsia" w:ascii="黑体" w:hAnsi="黑体" w:eastAsia="黑体" w:cs="黑体"/>
          <w:b w:val="0"/>
          <w:bCs w:val="0"/>
          <w:color w:val="333333"/>
          <w:kern w:val="0"/>
          <w:sz w:val="21"/>
          <w:szCs w:val="21"/>
          <w:u w:val="none"/>
          <w:lang w:val="en-US" w:eastAsia="zh-CN" w:bidi="ar-SA"/>
        </w:rPr>
        <w:t>一、关于地方分担机制</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　　自2019年9月1日起，增值税留抵退税地方分担的50%部分，15%由企业所在地分担，35%由各地按增值税分享额占地方分享总额比重分担，该比重由财政部根据上年各地区实际分享增值税收入情况计算确定。具体操作时，15%部分由企业所在省份直接退付，35%部分先由企业所在地省级财政垫付，垫付少于应分担的部分由企业所在地省级财政通过调库方式按月调给中央财政，垫付多于应分担的部分由中央财政通过调库方式按月调给企业所在地省级财政。各地区省级财政部门要结合省以下财政体制及财力状况，合理确定省以下留抵退税分担机制，提高效率，切实减轻基层财政退税压力，确保留抵退税及时退付。</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黑体" w:hAnsi="黑体" w:eastAsia="黑体" w:cs="黑体"/>
          <w:b w:val="0"/>
          <w:bCs w:val="0"/>
          <w:color w:val="333333"/>
          <w:kern w:val="0"/>
          <w:sz w:val="21"/>
          <w:szCs w:val="21"/>
          <w:u w:val="none"/>
          <w:lang w:val="en-US" w:eastAsia="zh-CN" w:bidi="ar-SA"/>
        </w:rPr>
      </w:pPr>
      <w:r>
        <w:rPr>
          <w:rStyle w:val="24"/>
          <w:rFonts w:hint="eastAsia" w:ascii="黑体" w:hAnsi="黑体" w:eastAsia="黑体" w:cs="黑体"/>
          <w:b w:val="0"/>
          <w:bCs w:val="0"/>
          <w:color w:val="333333"/>
          <w:kern w:val="0"/>
          <w:sz w:val="21"/>
          <w:szCs w:val="21"/>
          <w:u w:val="none"/>
          <w:lang w:val="en-US" w:eastAsia="zh-CN" w:bidi="ar-SA"/>
        </w:rPr>
        <w:t>二、关于预算科目设置</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　　自2019年起，在《政府收支分类科目》“国内增值税”（1010101项）科目下增设“101010136增值税留抵退税”目级科目，为中央与地方共用收入退库科目，反映税务部门按照增值税留抵退税政策退还的增值税；增设“101010137增值税留抵退税省级调库”目级科目，为中央与地方共用收入科目，反映通过调库方式调整企业所在地省级财政垫付多（或少）于应分担的35%部分增值税留抵退税；增设“101010138增值税留抵退税省级以下调库”目级科目，为地方收入科目，反映通过调库方式调整企业所在地市县财政垫付多（或少）于应分担的增值税留抵退税。在“改征增值税”（1010104项）科目下增设“101010426改征增值税留抵退税”目级科目，为中央与地方共用收入退库科目，反映税务部门按照增值税留抵退税政策退还的改征增值税；增设“101010427改征增值税留抵退税省级调库”目级科目，为中央与地方共用收入科目，反映通过调库方式调整企业所在地省级财政垫付多（或少）于应分担的35%部分改征增值税留抵退税；增设“101010428改征增值税留抵退税省级以下调库”目级科目，为地方收入科目，反映通过调库方式调整企业所在地市县财政垫付多（或少）于应分担的改征增值税留抵退税。将“改征增值税国内退税”（101010429目）科目名称修改为“其他改征增值税国内退税”。</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黑体" w:hAnsi="黑体" w:eastAsia="黑体" w:cs="黑体"/>
          <w:b w:val="0"/>
          <w:bCs w:val="0"/>
          <w:color w:val="333333"/>
          <w:kern w:val="0"/>
          <w:sz w:val="21"/>
          <w:szCs w:val="21"/>
          <w:u w:val="none"/>
          <w:lang w:val="en-US" w:eastAsia="zh-CN" w:bidi="ar-SA"/>
        </w:rPr>
      </w:pPr>
      <w:r>
        <w:rPr>
          <w:rStyle w:val="24"/>
          <w:rFonts w:hint="eastAsia" w:ascii="黑体" w:hAnsi="黑体" w:eastAsia="黑体" w:cs="黑体"/>
          <w:b w:val="0"/>
          <w:bCs w:val="0"/>
          <w:color w:val="333333"/>
          <w:kern w:val="0"/>
          <w:sz w:val="21"/>
          <w:szCs w:val="21"/>
          <w:u w:val="none"/>
          <w:lang w:val="en-US" w:eastAsia="zh-CN" w:bidi="ar-SA"/>
        </w:rPr>
        <w:t>三、关于退库业务办理</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　　（一）税务机关办理增值税留抵退税业务，税收收入退还书预算科目填列“增值税留抵退税”（101010136目）或“改征增值税留抵退税”（101010426目），预算级次按照中央50%、省级35%、15%部分按各省确定的省以下增值税留抵退税分担机制填列。</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　　（二）对自2019年9月1日至本办法印发日期之间发生的留抵退税相应作调库处理。税务机关根据2019年9月1日后已办理留抵退税的情况，开具更正（调库）通知书，填列“增值税留抵退税”（101010136目）、“改征增值税留抵退税”（101010426目）以及原增值税留抵已退税款使用的科目。各级国库依据税务部门开具的更正（调库）通知书等凭证和文件审核办理相关业务。</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黑体" w:hAnsi="黑体" w:eastAsia="黑体" w:cs="黑体"/>
          <w:b w:val="0"/>
          <w:bCs w:val="0"/>
          <w:color w:val="333333"/>
          <w:kern w:val="0"/>
          <w:sz w:val="21"/>
          <w:szCs w:val="21"/>
          <w:u w:val="none"/>
          <w:lang w:val="en-US" w:eastAsia="zh-CN" w:bidi="ar-SA"/>
        </w:rPr>
      </w:pPr>
      <w:r>
        <w:rPr>
          <w:rStyle w:val="24"/>
          <w:rFonts w:hint="eastAsia" w:ascii="黑体" w:hAnsi="黑体" w:eastAsia="黑体" w:cs="黑体"/>
          <w:b w:val="0"/>
          <w:bCs w:val="0"/>
          <w:color w:val="333333"/>
          <w:kern w:val="0"/>
          <w:sz w:val="21"/>
          <w:szCs w:val="21"/>
          <w:u w:val="none"/>
          <w:lang w:val="en-US" w:eastAsia="zh-CN" w:bidi="ar-SA"/>
        </w:rPr>
        <w:t>四、关于财政调库</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　　增值税留抵退税财政调库，根据地方应调库数额，分别由省级财政部门和财政部监管局发起，统一由省级国库按规定就地办理。其中：企业所在地省级财政垫付少于应分担的部分，由省级财政部门通过调库方式按月调为中央级；企业所在地省级财政垫付多于应分担的部分，由财政部监管局通过调库方式按月调为省级。地方应调库数额由财政部根据上年各地增值税分享比重、省级财政部门垫付部分及留抵退税地方分担35%部分的数额计算。</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　　（一）省级财政部门调库。</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　　每月前10个工作日内，企业所在地省级财政部门根据财政部提供的本地区少垫付的应调库数额，向省级国库按目级科目开具更正（调库）通知书，通过“增值税留抵退税省级调库”（101010137目）科目和“改征增值税留抵退税省级调库”（101010427目）科目，将少垫付部分由省级调整至中央级。</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　　（二）财政部监管局调库。</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　　在每月省级财政部门完成调库后的5个工作日内，财政部监管局根据财政部提供的当地多垫付的应调库数额，向省级国库按目级科目开具更正（调库）通知书，通过“增值税留抵退税省级调库”（101010137目）科目和“改征增值税留抵退税省级调库”（101010427目）科目，将相关地区多垫付部分由中央级调整至省级。</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　　每年1月，省级财政部门和财政部监管局对上年12月发生的增值税留抵退税35%部分进行调库，调库收入统一作为本年度的收入处理，不计入上年收入。各省级国库在上年12月31日向中央总金库报解最后一份中央预算收入日报表后，整理期发生的增值税留抵退税，统一作为本年度的收入处理。</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Style w:val="24"/>
          <w:rFonts w:hint="eastAsia" w:ascii="黑体" w:hAnsi="黑体" w:eastAsia="黑体" w:cs="黑体"/>
          <w:b w:val="0"/>
          <w:bCs w:val="0"/>
          <w:color w:val="333333"/>
          <w:kern w:val="0"/>
          <w:sz w:val="21"/>
          <w:szCs w:val="21"/>
          <w:u w:val="none"/>
          <w:lang w:val="en-US" w:eastAsia="zh-CN" w:bidi="ar-SA"/>
        </w:rPr>
      </w:pPr>
      <w:r>
        <w:rPr>
          <w:rStyle w:val="24"/>
          <w:rFonts w:hint="eastAsia" w:ascii="黑体" w:hAnsi="黑体" w:eastAsia="黑体" w:cs="黑体"/>
          <w:b w:val="0"/>
          <w:bCs w:val="0"/>
          <w:color w:val="333333"/>
          <w:kern w:val="0"/>
          <w:sz w:val="21"/>
          <w:szCs w:val="21"/>
          <w:u w:val="none"/>
          <w:lang w:val="en-US" w:eastAsia="zh-CN" w:bidi="ar-SA"/>
        </w:rPr>
        <w:t>五、加强留抵退税监管</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　　财政部各地监管局以抽审的方式对留抵退税政策执行情况进行监督管理。省级财政、税务、国库部门按照要求予以配合。每个季度，省级税务部门将全省留抵退税清单、省级国库部门将调（退）库清单或报表提供财政部当地监管局。财政部各地监管局发现虚报留抵税额、未按规定审核、未按规定调（退）库、未及时保障退库资金到位等问题，应及时向相关部门提出处理建议并上报财政部。每年财政部各地监管局须向财政部提交监管报告。</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　　本通知自2019年9月1日起施行。自2019年9月1日起至本通知印发前，《关于退还部分项目进口设备增值税期末留抵退税的补充通知》（财预〔2011〕486号）、《关于利用石脑油和燃料油生产乙烯芳烃类产品有关增值税退税问题的通知》（财预〔2015〕3号）规定的中央与地方分担办法按本通知规定予以调整，以前年度中央财政垫付的地方应负担的留抵税额通过2019年及以后年度中央财政与地方财政年终结算扣回，上述文件自本通知印发之日起相应废止。</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　　附件：2019年政府收支分类科目修订前后对照表</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财政部</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 税务总局</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 人民银行</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Style w:val="24"/>
          <w:rFonts w:hint="eastAsia" w:ascii="宋体" w:hAnsi="宋体" w:eastAsia="宋体" w:cs="宋体"/>
          <w:b w:val="0"/>
          <w:bCs w:val="0"/>
          <w:color w:val="333333"/>
          <w:kern w:val="0"/>
          <w:sz w:val="21"/>
          <w:szCs w:val="21"/>
          <w:u w:val="none"/>
          <w:lang w:val="en-US" w:eastAsia="zh-CN" w:bidi="ar-SA"/>
        </w:rPr>
      </w:pPr>
      <w:r>
        <w:rPr>
          <w:rStyle w:val="24"/>
          <w:rFonts w:hint="eastAsia" w:ascii="宋体" w:hAnsi="宋体" w:eastAsia="宋体" w:cs="宋体"/>
          <w:b w:val="0"/>
          <w:bCs w:val="0"/>
          <w:color w:val="333333"/>
          <w:kern w:val="0"/>
          <w:sz w:val="21"/>
          <w:szCs w:val="21"/>
          <w:u w:val="none"/>
          <w:lang w:val="en-US" w:eastAsia="zh-CN" w:bidi="ar-SA"/>
        </w:rPr>
        <w:t>2019年12月4日</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default" w:ascii="宋体" w:hAnsi="宋体" w:eastAsia="宋体" w:cs="宋体"/>
          <w:b w:val="0"/>
          <w:bCs w:val="0"/>
          <w:color w:val="333333"/>
          <w:kern w:val="0"/>
          <w:sz w:val="21"/>
          <w:szCs w:val="21"/>
          <w:u w:val="none"/>
          <w:lang w:val="en-US" w:eastAsia="zh-CN" w:bidi="ar-SA"/>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default" w:ascii="宋体" w:hAnsi="宋体" w:eastAsia="宋体" w:cs="宋体"/>
          <w:b w:val="0"/>
          <w:bCs w:val="0"/>
          <w:color w:val="333333"/>
          <w:kern w:val="0"/>
          <w:sz w:val="21"/>
          <w:szCs w:val="21"/>
          <w:u w:val="none"/>
          <w:lang w:val="en-US" w:eastAsia="zh-CN" w:bidi="ar-SA"/>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default" w:ascii="宋体" w:hAnsi="宋体" w:eastAsia="宋体" w:cs="宋体"/>
          <w:b w:val="0"/>
          <w:bCs w:val="0"/>
          <w:color w:val="333333"/>
          <w:kern w:val="0"/>
          <w:sz w:val="21"/>
          <w:szCs w:val="21"/>
          <w:u w:val="none"/>
          <w:lang w:val="en-US" w:eastAsia="zh-CN" w:bidi="ar-SA"/>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default" w:ascii="宋体" w:hAnsi="宋体" w:eastAsia="宋体" w:cs="宋体"/>
          <w:b w:val="0"/>
          <w:bCs w:val="0"/>
          <w:color w:val="333333"/>
          <w:kern w:val="0"/>
          <w:sz w:val="21"/>
          <w:szCs w:val="21"/>
          <w:u w:val="none"/>
          <w:lang w:val="en-US" w:eastAsia="zh-CN" w:bidi="ar-SA"/>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Style w:val="24"/>
          <w:rFonts w:hint="default" w:ascii="宋体" w:hAnsi="宋体" w:eastAsia="宋体" w:cs="宋体"/>
          <w:b w:val="0"/>
          <w:bCs w:val="0"/>
          <w:color w:val="333333"/>
          <w:kern w:val="0"/>
          <w:sz w:val="21"/>
          <w:szCs w:val="21"/>
          <w:u w:val="none"/>
          <w:lang w:val="en-US" w:eastAsia="zh-CN" w:bidi="ar-SA"/>
        </w:rPr>
      </w:pPr>
    </w:p>
    <w:p>
      <w:pPr>
        <w:keepNext w:val="0"/>
        <w:keepLines w:val="0"/>
        <w:widowControl/>
        <w:suppressLineNumbers w:val="0"/>
        <w:shd w:val="clear" w:fill="FFFFFF"/>
        <w:spacing w:after="180" w:afterAutospacing="0" w:line="288" w:lineRule="atLeast"/>
        <w:ind w:left="0" w:firstLine="420"/>
        <w:jc w:val="center"/>
        <w:rPr>
          <w:rFonts w:hint="eastAsia" w:ascii="Cambria" w:hAnsi="Cambria" w:eastAsia="宋体" w:cs="Times New Roman"/>
          <w:b/>
          <w:bCs/>
          <w:i w:val="0"/>
          <w:caps w:val="0"/>
          <w:color w:val="000000"/>
          <w:spacing w:val="0"/>
          <w:kern w:val="2"/>
          <w:sz w:val="28"/>
          <w:szCs w:val="28"/>
          <w:lang w:val="en-US" w:eastAsia="zh-CN" w:bidi="ar-SA"/>
        </w:rPr>
      </w:pPr>
      <w:r>
        <w:rPr>
          <w:rFonts w:hint="default" w:ascii="Cambria" w:hAnsi="Cambria" w:eastAsia="宋体" w:cs="Times New Roman"/>
          <w:b/>
          <w:bCs/>
          <w:i w:val="0"/>
          <w:caps w:val="0"/>
          <w:color w:val="000000"/>
          <w:spacing w:val="0"/>
          <w:kern w:val="2"/>
          <w:sz w:val="28"/>
          <w:szCs w:val="28"/>
          <w:lang w:val="en-US" w:eastAsia="zh-CN" w:bidi="ar-SA"/>
        </w:rPr>
        <w:t>中国人民银行 国家发展和改革委员会 财政部 中国证券监督管理委员会令</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outlineLvl w:val="1"/>
        <w:rPr>
          <w:rFonts w:hint="default" w:ascii="楷体" w:hAnsi="楷体" w:eastAsia="楷体" w:cs="楷体"/>
          <w:color w:val="333333"/>
          <w:sz w:val="24"/>
          <w:szCs w:val="24"/>
          <w:u w:val="none"/>
          <w:lang w:val="en-US" w:eastAsia="zh-CN"/>
        </w:rPr>
      </w:pPr>
      <w:bookmarkStart w:id="249" w:name="_Toc27118"/>
      <w:r>
        <w:rPr>
          <w:rFonts w:hint="default" w:ascii="楷体" w:hAnsi="楷体" w:eastAsia="楷体" w:cs="楷体"/>
          <w:color w:val="333333"/>
          <w:sz w:val="24"/>
          <w:szCs w:val="24"/>
          <w:u w:val="none"/>
          <w:lang w:val="en-US" w:eastAsia="zh-CN"/>
        </w:rPr>
        <w:t>〔2019〕第5号</w:t>
      </w:r>
      <w:bookmarkEnd w:id="249"/>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信用评级业管理暂行办法》已经2018年11月23日中国人民银行第16次行长办公会（行务会），2019年9月10日中华人民共和国国家发展和改革委员会第4次委务会议，2019年11月19日中华人民共和国财政部第1次部务会议和2019年11月8日中国证券监督管理委员会第4次委员会会议审议通过，现予公布，自2019年12月26日起施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righ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行长 易纲</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righ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主任 何立峰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righ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部长 刘昆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righ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主席 易会满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righ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2019年11月26日</w:t>
      </w:r>
      <w:bookmarkStart w:id="250" w:name="ref_[1]_24624138"/>
      <w:bookmarkStart w:id="251" w:name="ref_[3]_24624138"/>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center"/>
        <w:textAlignment w:val="auto"/>
        <w:rPr>
          <w:rStyle w:val="24"/>
          <w:rFonts w:hint="eastAsia" w:ascii="华文中宋" w:hAnsi="华文中宋" w:eastAsia="华文中宋" w:cs="华文中宋"/>
          <w:b w:val="0"/>
          <w:bCs w:val="0"/>
          <w:color w:val="333333"/>
          <w:kern w:val="0"/>
          <w:sz w:val="28"/>
          <w:szCs w:val="28"/>
          <w:u w:val="none"/>
          <w:lang w:val="en-US" w:eastAsia="zh-CN" w:bidi="ar-SA"/>
        </w:rPr>
      </w:pPr>
      <w:bookmarkStart w:id="252" w:name="2"/>
      <w:bookmarkEnd w:id="252"/>
      <w:bookmarkStart w:id="253" w:name="sub24624138_2"/>
      <w:bookmarkEnd w:id="253"/>
      <w:bookmarkStart w:id="254" w:name="办法正文"/>
      <w:bookmarkEnd w:id="254"/>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center"/>
        <w:textAlignment w:val="auto"/>
        <w:rPr>
          <w:rStyle w:val="24"/>
          <w:rFonts w:hint="eastAsia" w:ascii="华文中宋" w:hAnsi="华文中宋" w:eastAsia="华文中宋" w:cs="华文中宋"/>
          <w:b w:val="0"/>
          <w:bCs w:val="0"/>
          <w:color w:val="333333"/>
          <w:kern w:val="0"/>
          <w:sz w:val="28"/>
          <w:szCs w:val="28"/>
          <w:u w:val="none"/>
          <w:lang w:val="en-US" w:eastAsia="zh-CN" w:bidi="ar-SA"/>
        </w:rPr>
      </w:pPr>
      <w:r>
        <w:rPr>
          <w:rStyle w:val="24"/>
          <w:rFonts w:hint="eastAsia" w:ascii="华文中宋" w:hAnsi="华文中宋" w:eastAsia="华文中宋" w:cs="华文中宋"/>
          <w:b w:val="0"/>
          <w:bCs w:val="0"/>
          <w:color w:val="333333"/>
          <w:kern w:val="0"/>
          <w:sz w:val="28"/>
          <w:szCs w:val="28"/>
          <w:u w:val="none"/>
          <w:lang w:val="en-US" w:eastAsia="zh-CN" w:bidi="ar-SA"/>
        </w:rPr>
        <w:t>信用评级业管理暂行办法</w:t>
      </w:r>
    </w:p>
    <w:p>
      <w:pPr>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after="157" w:afterLines="50" w:afterAutospacing="0" w:line="360" w:lineRule="auto"/>
        <w:ind w:left="0" w:firstLine="420"/>
        <w:jc w:val="center"/>
        <w:textAlignment w:val="auto"/>
        <w:rPr>
          <w:rStyle w:val="24"/>
          <w:rFonts w:hint="eastAsia" w:ascii="黑体" w:hAnsi="黑体" w:eastAsia="黑体" w:cs="黑体"/>
          <w:b w:val="0"/>
          <w:bCs w:val="0"/>
          <w:color w:val="333333"/>
          <w:kern w:val="0"/>
          <w:sz w:val="21"/>
          <w:szCs w:val="21"/>
          <w:u w:val="none"/>
          <w:lang w:val="en-US" w:eastAsia="zh-CN" w:bidi="ar-SA"/>
        </w:rPr>
      </w:pPr>
      <w:r>
        <w:rPr>
          <w:rStyle w:val="24"/>
          <w:rFonts w:hint="eastAsia" w:ascii="黑体" w:hAnsi="黑体" w:eastAsia="黑体" w:cs="黑体"/>
          <w:b w:val="0"/>
          <w:bCs w:val="0"/>
          <w:color w:val="333333"/>
          <w:kern w:val="0"/>
          <w:sz w:val="21"/>
          <w:szCs w:val="21"/>
          <w:u w:val="none"/>
          <w:lang w:val="en-US" w:eastAsia="zh-CN" w:bidi="ar-SA"/>
        </w:rPr>
        <w:t>第一章 总 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第一条 为了规范信用评级业务，保护当事人合法权益，促进信用评级业健康发展，根据《中华人民共和国中国人民银行法》、《中华人民共和国公司法》、《中华人民共和国证券法》、《中华人民共和国预算法》、《企业债券管理条例》等法律法规，制定本办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第二条 在中华人民共和国境内从事信用评级业务，适用本办法。法律法规和有关业务管理部门制定的信用评级机构监督管理规则中另有规定的，适用其规定。本办法所称信用评级，是指信用评级机构对影响经济主体或者债务融资工具的信用风险因素进行分析，就其偿债能力和偿债意愿作出综合评价，并通过预先定义的信用等级符号进行表示。本办法所称信用评级业务，是指为开展信用评级而进行的信息收集、分析、评估、审核和结果发布等活动。本办法所称信用评级机构，是指依法设立，主要从事信用评级业务的社会中介机构。本办法所称评级对象，是指受评经济主体或者受评债务融资工具。本办法所称债务融资工具，包括：贷款，地方政府债券、金融债券、非金融企业债务融资工具、企业债券、公司债券等债券，资产支持证券等结构化融资产品，其他债务类融资产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第三条 本办法所称监管主体包括信用评级行业主管部门和业务管理部门。中国人民银行是信用评级行业主管部门，主管全国的信用评级监督管理工作。发展改革委、财政部、证监会为信用评级业务管理部门（以下统称业务管理部门），在职责范围内依法对信用评级业务实施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第四条 信用评级行业主管部门履行以下职责： （一）研究起草信用评级相关法律法规草案；（二）拟定信用评级业发展战略、规划和政策；（三）制定信用评级机构的准入原则和基本规范；（四）研究制定信用评级业对外开放政策;（五）促进信用评级业健康发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第五条 业务管理部门依据相关法律法规和监管职责，对信用评级业务进行监督管理。业务管理部门可以根据需要，对信用评级机构的监督管理制定相应规则。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第六条 信用评级行业主管部门和业务管理部门建立部际协调机制，根据职责分工，协调配合，共同加强监管工作。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第七条 信用评级行业主管部门、业务管理部门在各自职责范围内分别建立信用评级机构信用档案和信用评级机构高级管理人员信用档案，并将信用评级机构及高级管理人员信用档案信息、评级业务信息、检查及行政处罚等信息纳入全国信用信息共享平台，按照有关规定，实现信息公开与共享。信用评级机构应当建立本机构从业人员信用档案，并将从业人员信用档案信息纳入全国信用信息共享平台，按照有关规定,实现信息公开与共享。</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第八条 信用评级机构从事信用评级业务应当遵循独立、客观、公正和审慎性原则，勤勉尽责，诚信经营，不得损害国家利益、社会公共利益和市场主体合法权益。信用评级机构从事评级业务，应当遵循一致性原则，对同一类对象评级，或者对同一评级对象跟踪评级，应当采用一致的评级标准和工作程序。评级标准和工作程序及其调整，应当予以充分披露。信用评级机构依法独立开展业务，不受任何单位和个人的干涉。</w:t>
      </w:r>
    </w:p>
    <w:p>
      <w:pPr>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after="157" w:afterLines="50" w:afterAutospacing="0" w:line="360" w:lineRule="auto"/>
        <w:ind w:left="0" w:firstLine="420"/>
        <w:jc w:val="center"/>
        <w:textAlignment w:val="auto"/>
        <w:rPr>
          <w:rStyle w:val="24"/>
          <w:rFonts w:hint="default" w:ascii="黑体" w:hAnsi="黑体" w:eastAsia="黑体" w:cs="黑体"/>
          <w:b w:val="0"/>
          <w:bCs w:val="0"/>
          <w:color w:val="333333"/>
          <w:kern w:val="0"/>
          <w:sz w:val="21"/>
          <w:szCs w:val="21"/>
          <w:u w:val="none"/>
          <w:lang w:val="en-US" w:eastAsia="zh-CN" w:bidi="ar-SA"/>
        </w:rPr>
      </w:pPr>
      <w:r>
        <w:rPr>
          <w:rStyle w:val="24"/>
          <w:rFonts w:hint="default" w:ascii="黑体" w:hAnsi="黑体" w:eastAsia="黑体" w:cs="黑体"/>
          <w:b w:val="0"/>
          <w:bCs w:val="0"/>
          <w:color w:val="333333"/>
          <w:kern w:val="0"/>
          <w:sz w:val="21"/>
          <w:szCs w:val="21"/>
          <w:u w:val="none"/>
          <w:lang w:val="en-US" w:eastAsia="zh-CN" w:bidi="ar-SA"/>
        </w:rPr>
        <w:t>第二章 信用评级机构管理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第九条 设立信用评级机构，应当符合《中华人民共和国公司法》规定的公司设立条件，自公司登记机关准予登记之日起30日内向所在地的信用评级行业主管部门省一级派出机构（以下简称备案机构）办理备案，并提交以下材料：（一）信用评级机构备案表；（二）营业执照复印件；（三）全球法人机构识别编码；（四）股权结构说明，包括注册资本、股东名单及其出资额或者所持股份，股东在本机构以外的实体持股情况，实际控制人、受益所有人情况；（五）董事、监事、高级管理人员以及信用评级分析人员的情况说明和证明文件；（六）主要股东、实际控制人、受益所有人、董事、监事、高级管理人员未因犯有贪污、贿赂、侵占财产、挪用财产罪或者破坏社会主义市场经济秩序罪，被判处刑罚，或者因犯罪被剥夺政治权利的声明，以及主要股东、实际控制人、受益所有人的信用报告；（七）营业场所、组织机构设置及公司治理情况;（八）独立性、信息披露以及业务制度说明；（九）信用评级行业主管部门基于保护投资者、维护社会公共利益考虑，合理要求的与信用评级机构及其相关自然人有关的其他材料。备案机构可以对高级管理人员和主要信用评级分析人员进行政策法规、业务技能等方面的监管谈话，以评估其专业素质的合格性。</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第十条 信用评级机构设立分支机构的，自该分支机构成立之日起30日内，信用评级机构应当向原备案机构、信用评级机构分支机构应当向备案机构分别办理备案，并提交以下材料：（一）信用评级机构分支机构备案表；（二）信用评级机构分支机构营业执照复印件；（三）信用评级机构分支机构营业场所及组织机构设置说明；（四）信用评级机构分支机构高级管理人员和信用评级分析人员情况说明和证明文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第十一条 信用评级机构应当自下列事项变更或者发生之日起30日内，向备案机构办理变更备案：（一）机构名称、营业场所；（二）持有出资额或者股份5%以上的股东，实际控制人、受益所有人;（三）董事、监事、高级管理人员、信用评级分析人员；（四）按照法律法规、行业主管部门和业务管理部门的规定开展相关市场信用评级业务；（五）不再从事信用评级业务。信用评级机构分支机构前款第一项、第三项和第五项事项变更或者发生的，信用评级机构及其分支机构应当自相关事项变更或者发生之日起30日内向各自的备案机构办理变更备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第十二条 信用评级机构解散或者被依法宣告破产的，应当向备案机构报告，并按照以下方式处理信用评级数据库系统：（一）与其他信用评级机构约定，转让给其他信用评级机构；（二）不能依照前项规定转让的，移交给备案机构指定的信用评级机构；（三）不能依照前两项规定转让、移交的，在备案机构的监督下销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第十三条 业务管理部门对有关信用评级业务资质另有规定的，从其规定。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after="157" w:afterLines="50" w:afterAutospacing="0" w:line="360" w:lineRule="auto"/>
        <w:ind w:left="0" w:firstLine="420"/>
        <w:jc w:val="center"/>
        <w:textAlignment w:val="auto"/>
        <w:rPr>
          <w:rStyle w:val="24"/>
          <w:rFonts w:hint="default" w:ascii="黑体" w:hAnsi="黑体" w:eastAsia="黑体" w:cs="黑体"/>
          <w:b w:val="0"/>
          <w:bCs w:val="0"/>
          <w:color w:val="333333"/>
          <w:kern w:val="0"/>
          <w:sz w:val="21"/>
          <w:szCs w:val="21"/>
          <w:u w:val="none"/>
          <w:lang w:val="en-US" w:eastAsia="zh-CN" w:bidi="ar-SA"/>
        </w:rPr>
      </w:pPr>
      <w:r>
        <w:rPr>
          <w:rStyle w:val="24"/>
          <w:rFonts w:hint="default" w:ascii="黑体" w:hAnsi="黑体" w:eastAsia="黑体" w:cs="黑体"/>
          <w:b w:val="0"/>
          <w:bCs w:val="0"/>
          <w:color w:val="333333"/>
          <w:kern w:val="0"/>
          <w:sz w:val="21"/>
          <w:szCs w:val="21"/>
          <w:u w:val="none"/>
          <w:lang w:val="en-US" w:eastAsia="zh-CN" w:bidi="ar-SA"/>
        </w:rPr>
        <w:t>第三章 信用评级从业人员管理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第十四条 信用评级机构应当将高级管理人员和信用评级分析人员的基本信息向备案机构办理备案。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第十五条 信用评级机构的高级管理人员和信用评级分析人员离职并受聘于其曾参与评级的受评经济主体、受评债务融资工具发行人、信用评级委托方或者主承销商的，信用评级机构应当检查其离职前两年内参与的与其受聘机构有关的信用评级工作。对评级结果确有影响的，信用评级机构应当及时披露检查结果以及对原信用评级结果的调整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第十六条 信用评级机构应当定期对高级管理人员和信用评级分析人员进行业务培训和业务能力测试，采取有效措施提高从业人员的职业道德和业务水平，并做好培训和测试记录。</w:t>
      </w:r>
    </w:p>
    <w:p>
      <w:pPr>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after="157" w:afterLines="50" w:afterAutospacing="0" w:line="360" w:lineRule="auto"/>
        <w:ind w:left="0" w:firstLine="420"/>
        <w:jc w:val="center"/>
        <w:textAlignment w:val="auto"/>
        <w:rPr>
          <w:rStyle w:val="24"/>
          <w:rFonts w:hint="default" w:ascii="黑体" w:hAnsi="黑体" w:eastAsia="黑体" w:cs="黑体"/>
          <w:b w:val="0"/>
          <w:bCs w:val="0"/>
          <w:color w:val="333333"/>
          <w:kern w:val="0"/>
          <w:sz w:val="21"/>
          <w:szCs w:val="21"/>
          <w:u w:val="none"/>
          <w:lang w:val="en-US" w:eastAsia="zh-CN" w:bidi="ar-SA"/>
        </w:rPr>
      </w:pPr>
      <w:r>
        <w:rPr>
          <w:rStyle w:val="24"/>
          <w:rFonts w:hint="default" w:ascii="黑体" w:hAnsi="黑体" w:eastAsia="黑体" w:cs="黑体"/>
          <w:b w:val="0"/>
          <w:bCs w:val="0"/>
          <w:color w:val="333333"/>
          <w:kern w:val="0"/>
          <w:sz w:val="21"/>
          <w:szCs w:val="21"/>
          <w:u w:val="none"/>
          <w:lang w:val="en-US" w:eastAsia="zh-CN" w:bidi="ar-SA"/>
        </w:rPr>
        <w:t>第四章 信用评级程序及业务规则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第十七条 信用评级机构应当对内部管理制度的有效性进行年度检查和评估，就存在的问题提出处理措施，并于每个财务年度结束之日起四个月内将检查和评估报告向信用评级行业主管部门和业务管理部门报备。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第十八条 信用评级机构应当建立完善的信用评级制度，对信用等级的划分与定义、评级方法与程序、评级质量控制、尽职调查、信用评级评审委员会、评级结果公布、跟踪评级等进行明确规定。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第十九条 信用评级机构在开展委托评级项目前，应当与委托人签订评级协议，明确评级双方的权利和义务。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第二十条 信用评级机构在开展信用评级业务时，应当组建评级项目组。信用评级机构应当对每一评级项目投入充分的富有经验的分析资源。评级项目组成员应当具备从事相关项目的工作经历或者与评级项目相适应的知识结构，评级项目组长应当有充分的经验且至少从事信用评级业务三年以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第二十一条 信用评级机构应当对评级对象开展尽职调查，进行必要的评估以确信评级所需信息来源可靠且充分满足使用需求，并在调查前制定详细的调查提纲。调查过程中，信用评级机构应当制作尽职调查工作底稿，作为评级资料一并存档保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第二十二条 评级项目组应当依法收集评级对象的相关资料，并对所依据的文件资料内容进行核查验证和客观分析，在此基础上得出初评结果。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第二十三条 信用评级初评结果应当经过三级审核程序，包括评级小组初审、部门再审和公司三审。各审核阶段应当相互独立，三级审核文件资料应当按相关要求存档保管。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第二十四条 信用评级机构应当成立内部信用评审委员会。信用评级结果由内部信用评审委员会召开评审会议，以投票表决方式最终确定。信用评级机构应当根据每一评级项目的具体情况，安排充足且具有相关经验的人员参加评审会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第二十五条 信用评级机构应当将信用评级结果反馈至评级委托方，评级委托方应当在规定期限内反馈意见。如评级委托方、受评经济主体、受评债务融资工具发行人不是同一主体的，信用评级机构还应当将信用评级结果反馈至受评经济主体和受评债务融资工具发行人。评级委托方、受评经济主体或者受评债务融资工具发行人对信用评级结果有异议且向信用评级机构提供充分、有效的补充材料的，可以在约定时间内申请复评一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第二十六条 信用评级机构公布受评债务融资工具及受评经济主体信用评级结果，应当符合下列要求：（一）评级结果应当包括评级等级和评级报告，评级报告应当采用简洁、明了的语言，对评级对象的信用等级和有效期等内容作出明确解释；（二）按照本办法第三十八条的规定公布评级结果；（三）存在多个评级结果的，多个评级结果均应当予以公布。业务管理部门另有规定的，从其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第二十七条 在信用评级结果有效期内，信用评级机构应当对评级对象进行跟踪评级，并在签订评级协议时明确跟踪评级安排。其中，评级结果有效期为一年以上的，信用评级机构应当每年跟踪评级一次，并及时公布跟踪评级结果。业务管理部门另有规定的，从其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第二十八条 在评级结果有效期内发生可能影响评级对象偿债能力和偿债意愿的重大事项的，信用评级机构应当及时进行不定期跟踪评级，并公布跟踪评级结果。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第二十九条 信用评级机构应当建立评级业务档案管理制度。业务档案应当包括受托开展评级业务的委托书、出具评级报告所依据的原始资料、工作底稿、初评报告、评级报告、内部信用评审委员会表决意见及会议记录、跟踪评级资料、跟踪评级报告等。业务档案应当保存至评级合同期满后五年、评级对象存续期满后五年或者评级对象违约后五年，且不得少于十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第三十条 信用评级机构应当建立信用评级业务信息保密制度。对于在开展信用评级业务、处理信用评级数据库系统过程中知悉的国家秘密、商业秘密和个人隐私，信用评级机构及其从业人员应当依法履行保密义务。信用评级机构在中国境内采集的信息的整理、保存和加工，应当在中国境内进行。信用评级机构向境外组织或者个人提供信息，应当遵守法律法规以及信用评级行业主管部门和业务管理部门的有关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第三十一条 发生下列情形之一的，信用评级机构可以终止或者撤销评级：（一）受评经济主体及债务融资工具发行人拒不提供评级所需关键材料或者提供的材料存在虚假记载、误导性陈述或者重大遗漏的；（二）受评经济主体解散或者被依法宣告破产的；（三）受评债务融资工具不再存续的；（四）评级工作不能正常开展的其他情形。因上述原因终止或者撤销评级的，信用评级机构应当及时公告并说明原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第三十二条 信用评级机构不得有下列行为：（一）篡改相关资料或者歪曲评级结果；（二）以承诺分享投资收益或者分担投资损失、承诺高等级、承诺低收费、诋毁同行等手段招揽业务；（三）以挂靠、外包等形式允许其他机构使用其名义开展信用评级业务；（四）与受评经济主体、受评债务融资工具发行人或者相关第三方存在不正当交易或者商业贿赂；（五）向受评经济主体、受评债务融资工具发行人或者相关第三方提供顾问或者咨询服务；（六）对受评经济主体、受评债务融资工具发行人或者相关第三方进行敲诈勒索；（七）违反信用评级业务规则，损害投资人、评级对象合法权益，损害信用评级业声誉的其他行为。</w:t>
      </w:r>
    </w:p>
    <w:p>
      <w:pPr>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after="157" w:afterLines="50" w:afterAutospacing="0" w:line="360" w:lineRule="auto"/>
        <w:ind w:left="0" w:firstLine="420"/>
        <w:jc w:val="center"/>
        <w:textAlignment w:val="auto"/>
        <w:rPr>
          <w:rStyle w:val="24"/>
          <w:rFonts w:hint="default" w:ascii="黑体" w:hAnsi="黑体" w:eastAsia="黑体" w:cs="黑体"/>
          <w:b w:val="0"/>
          <w:bCs w:val="0"/>
          <w:color w:val="333333"/>
          <w:kern w:val="0"/>
          <w:sz w:val="21"/>
          <w:szCs w:val="21"/>
          <w:u w:val="none"/>
          <w:lang w:val="en-US" w:eastAsia="zh-CN" w:bidi="ar-SA"/>
        </w:rPr>
      </w:pPr>
      <w:r>
        <w:rPr>
          <w:rStyle w:val="24"/>
          <w:rFonts w:hint="default" w:ascii="黑体" w:hAnsi="黑体" w:eastAsia="黑体" w:cs="黑体"/>
          <w:b w:val="0"/>
          <w:bCs w:val="0"/>
          <w:color w:val="333333"/>
          <w:kern w:val="0"/>
          <w:sz w:val="21"/>
          <w:szCs w:val="21"/>
          <w:u w:val="none"/>
          <w:lang w:val="en-US" w:eastAsia="zh-CN" w:bidi="ar-SA"/>
        </w:rPr>
        <w:t>第五章 独立性要求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第三十三条 信用评级机构、信用评级从业人员应当在对经济主体、债务融资工具本身风险进行充分分析的基础之上独立得出信用评级结果，防止评级结果受到其他商业行为的不当影响。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第三十四条 信用评级机构与受评经济主体或者受评债务融资工具发行人存在下列情形之一的，不得开展信用评级业务：（一）信用评级机构与受评经济主体或者受评债务融资工具发行人为同一实际控制人所控制，或者由同一股东持股均达到5%以上；（二）受评经济主体、受评债务融资工具发行人或者其实际控制人直接或者间接持有信用评级机构出资额或者股份达到5%以上；（三）信用评级机构或者其实际控制人直接或者间接持有受评经济主体、受评债务融资工具发行人出资额或者股份达到5%以上；（四）信用评级机构或者其实际控制人在开展评级业务之前六个月内及开展评级业务期间买卖受评经济主体或者受评债务融资工具发行人发行的证券等产品； （五）影响信用评级机构独立性的其他情形。</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第三十五条 信用评级机构应当建立回避制度。信用评级从业人员在开展信用评级业务期间有下列情形之一的，应当回避：（一）本人、直系亲属持有受评经济主体或者受评债务融资工具发行人的出资额或者股份达到5%以上，或者是受评经济主体、受评债务融资工具发行人的实际控制人；（二）本人、直系亲属担任受评经济主体或者受评债务融资工具发行人的董事、监事或者高级管理人员；（三）本人、直系亲属担任受评经济主体或者受评债务融资工具发行人聘任的会计师事务所、律师事务所、财务顾问等服务机构的负责人或者项目签字人；（四）本人、直系亲属持有债务融资工具或者受评经济主体发行的证券金额超过50万元，或者与受评经济主体、受评债务融资工具发行人发生累计超过50万元的交易；（五）信用评级行业主管部门和业务管理部门认定的足以影响独立、客观、公正原则的其他情形。</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第三十六条 信用评级机构应建立完善的公司治理机制，确保其主要股东及实际控制人在出资比例、股权比例或投票权等方面不存在足以影响评级独立性的情形。信用评级机构应当建立清晰合理的内部组织结构，建立健全防火墙，确保信用评级业务部门独立于营销等其他部门。信用评级机构应当建立独立的合规部门，负责监督并报告评级机构及其员工的合规状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第三十七条 信用评级从业人员的薪酬不得与评级对象的信用级别、债务融资工具发行状况等因素相关联。</w:t>
      </w:r>
    </w:p>
    <w:p>
      <w:pPr>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after="157" w:afterLines="50" w:afterAutospacing="0" w:line="360" w:lineRule="auto"/>
        <w:ind w:left="0" w:firstLine="420"/>
        <w:jc w:val="center"/>
        <w:textAlignment w:val="auto"/>
        <w:rPr>
          <w:rStyle w:val="24"/>
          <w:rFonts w:hint="default" w:ascii="黑体" w:hAnsi="黑体" w:eastAsia="黑体" w:cs="黑体"/>
          <w:b w:val="0"/>
          <w:bCs w:val="0"/>
          <w:color w:val="333333"/>
          <w:kern w:val="0"/>
          <w:sz w:val="21"/>
          <w:szCs w:val="21"/>
          <w:u w:val="none"/>
          <w:lang w:val="en-US" w:eastAsia="zh-CN" w:bidi="ar-SA"/>
        </w:rPr>
      </w:pPr>
      <w:r>
        <w:rPr>
          <w:rStyle w:val="24"/>
          <w:rFonts w:hint="default" w:ascii="黑体" w:hAnsi="黑体" w:eastAsia="黑体" w:cs="黑体"/>
          <w:b w:val="0"/>
          <w:bCs w:val="0"/>
          <w:color w:val="333333"/>
          <w:kern w:val="0"/>
          <w:sz w:val="21"/>
          <w:szCs w:val="21"/>
          <w:u w:val="none"/>
          <w:lang w:val="en-US" w:eastAsia="zh-CN" w:bidi="ar-SA"/>
        </w:rPr>
        <w:t>第六章 信息披露要求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第三十八条 信用评级机构应当通过信用评级行业主管部门和业务管理部门指定的网站和其公司网站进行信息披露。</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第三十九条 信用评级机构应当披露下列基本信息：（一）机构基本情况、经营范围；（二）股东及其出资额或者所持股份、出资方式、出资比例、股东之间是否存在关联关系的说明，股权变更信息；（三）保证评级质量的内部控制制度；（四）评级报告采用的评级符号、评级方法、评级模型和关键假设，披露程度以反映评级可靠性为限，不得涉及商业秘密或妨碍创新。以上内容发生变更的，应当披露变更原因和对已评级项目的影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第四十条 信用评级机构应当在每个财务年度结束之日起四个月内披露下列独立性相关信息：（一）每年对其独立性的内部审核结果；（二）信用评级分析人员轮换政策；（三）财务年度评级收入前20名或者占比5%以上的客户名单；（四）信用评级机构的关联公司为受评经济主体、受评债务融资工具发行人或者相关第三方提供顾问、咨询服务的情况；（五）信用评级机构为受评经济主体、受评债务融资工具发行人或者相关第三方提供其他附加服务的情况。信用评级机构在前款规定时间内将前款第三项信息向行业主管部门以及业务管理部门备案的，可以不披露该信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第四十一条 信用评级机构应当披露下列评级质量相关信息：（一）一年、三年、五年期的信用评级违约率和信用等级迁移情况；（二）任何终止或撤销信用评级的决定及原因；（三）其他依法应当披露的信息。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第四十二条 信用评级机构应当披露开展信用评级项目依据的主要信息来源。</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第四十三条 信用评级机构应当披露聘用第三方进行尽职调查的情况。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第四十四条 信用评级机构开展结构化融资产品信用评级的，应当持续更新，并按照第三十九条第一款第四项的要求，及时披露结构化融资产品评级方法、评级模型和关键假设。</w:t>
      </w:r>
    </w:p>
    <w:p>
      <w:pPr>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after="157" w:afterLines="50" w:afterAutospacing="0" w:line="360" w:lineRule="auto"/>
        <w:ind w:left="0" w:firstLine="420"/>
        <w:jc w:val="center"/>
        <w:textAlignment w:val="auto"/>
        <w:rPr>
          <w:rStyle w:val="24"/>
          <w:rFonts w:hint="default" w:ascii="黑体" w:hAnsi="黑体" w:eastAsia="黑体" w:cs="黑体"/>
          <w:b w:val="0"/>
          <w:bCs w:val="0"/>
          <w:color w:val="333333"/>
          <w:kern w:val="0"/>
          <w:sz w:val="21"/>
          <w:szCs w:val="21"/>
          <w:u w:val="none"/>
          <w:lang w:val="en-US" w:eastAsia="zh-CN" w:bidi="ar-SA"/>
        </w:rPr>
      </w:pPr>
      <w:r>
        <w:rPr>
          <w:rStyle w:val="24"/>
          <w:rFonts w:hint="default" w:ascii="黑体" w:hAnsi="黑体" w:eastAsia="黑体" w:cs="黑体"/>
          <w:b w:val="0"/>
          <w:bCs w:val="0"/>
          <w:color w:val="333333"/>
          <w:kern w:val="0"/>
          <w:sz w:val="21"/>
          <w:szCs w:val="21"/>
          <w:u w:val="none"/>
          <w:lang w:val="en-US" w:eastAsia="zh-CN" w:bidi="ar-SA"/>
        </w:rPr>
        <w:t>第七章 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第四十五条 信用评级行业主管部门、业务管理部门及其派出机构依照法律法规和本办法相关规定，履行对信用评级机构的监督管理职责，可以采取下列监督检查措施：（一）进入信用评级机构进行现场检查；（二）询问相关的单位和个人，要求其对有关事项作出说明；（三）查询、复制相关文件、资料，封存可能被转移、销毁、隐匿或者篡改的文件、资料；（四）检查信用评级数据库系统；（五）其他现场检查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第四十六条 现场检查内容包括下列事项：（一）备案信息与实际情况的一致性；（二）信用评级业务与评级模型、程序、方法的一致性；（三）内部管理情况；（四）独立性管理情况；（五）信息披露情况；（六）执行信用评级行业主管部门、业务管理部门信用评级管理规定情况；（七）信用评级行业主管部门、业务管理部门认为有必要检查的其他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第四十七条 现场检查程序按照信用评级行业主管部门、业务管理部门的规定执行。相关信用评级机构和从业人员应当配合，如实提供有关文件、资料，不得隐瞒、拒绝和阻碍。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第四十八条 信用评级机构按照相关规定向信用评级行业主管部门、业务管理部门及其派出机构报送信用评级结果、信用评级报告、统计报表、违约率数据、经审计的财务报表、财务年度信用评级工作报告等资料，并对报表和资料的真实性、准确性、完整性负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第四十九条 信用评级行业主管部门、业务管理部门及其派出机构对信用评级机构报送内容进行监测、分析和统计。对发现的问题依据本办法相关规定及时处理。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第五十条 信用评级行业主管部门组织建立违约率检验系统对信用评级结果进行事后检验，并建立违约率检验和通报机制。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第五十一条 信用评级行业主管部门可以将现场与非现场检查情况形成行业监管报告并适时公布。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第五十二条 信用评级行业主管部门、业务管理部门及其派出机构根据监管需要，可以约谈信用评级机构董事、监事和高级管理人员，要求其就相关重大事项作出说明。</w:t>
      </w:r>
    </w:p>
    <w:p>
      <w:pPr>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after="157" w:afterLines="50" w:afterAutospacing="0" w:line="360" w:lineRule="auto"/>
        <w:ind w:left="0" w:firstLine="420"/>
        <w:jc w:val="center"/>
        <w:textAlignment w:val="auto"/>
        <w:rPr>
          <w:rStyle w:val="24"/>
          <w:rFonts w:hint="default" w:ascii="黑体" w:hAnsi="黑体" w:eastAsia="黑体" w:cs="黑体"/>
          <w:b w:val="0"/>
          <w:bCs w:val="0"/>
          <w:color w:val="333333"/>
          <w:kern w:val="0"/>
          <w:sz w:val="21"/>
          <w:szCs w:val="21"/>
          <w:u w:val="none"/>
          <w:lang w:val="en-US" w:eastAsia="zh-CN" w:bidi="ar-SA"/>
        </w:rPr>
      </w:pPr>
      <w:r>
        <w:rPr>
          <w:rStyle w:val="24"/>
          <w:rFonts w:hint="default" w:ascii="黑体" w:hAnsi="黑体" w:eastAsia="黑体" w:cs="黑体"/>
          <w:b w:val="0"/>
          <w:bCs w:val="0"/>
          <w:color w:val="333333"/>
          <w:kern w:val="0"/>
          <w:sz w:val="21"/>
          <w:szCs w:val="21"/>
          <w:u w:val="none"/>
          <w:lang w:val="en-US" w:eastAsia="zh-CN" w:bidi="ar-SA"/>
        </w:rPr>
        <w:t>第八章 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第五十三条 信用评级行业主管部门、业务管理部门及其派出机构的工作人员泄露知悉的国家秘密或者商业秘密，或者徇私舞弊、滥用职权、玩忽职守的，依法给予行政处分；涉嫌构成犯罪的，移送司法机关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第五十四条 信用评级机构及其从业人员违反本办法的，依照本章的有关规定给予处罚。 法律法规和业务管理部门另有规定的，从其规定。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第五十五条 信用评级机构开展业务，未按本办法规定办理备案的，由信用评级行业主管部门或者其省一级派出机构责令限期改正，并处未备案期间评级业务收入50%的罚款，没有评级业务收入或者评级业务收入无法计算的，处50万元以上200万元以下的罚款；逾期不改正的，处未备案期间评级业务收入1倍以上3倍以下的罚款，没有评级业务收入或者评级业务收入无法计算的，处200万元以上500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第五十六条 信用评级机构未按本办法规定办理信用评级从业人员备案的，由信用评级行业主管部门或者其省一级派出机构责令限期改正，对信用评级机构处该评级从业人员未备案期间参与的评级业务收入50%的罚款，没有评级业务收入或者评级业务收入无法计算的，处20万元以上50万元以下的罚款；逾期不改正的，对信用评级机构处该评级从业人员未备案期间参与的评级业务收入1倍以上3倍以下的罚款，没有评级业务收入或者评级业务收入无法计算的，处50万元以上200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第五十七条 信用评级机构隐瞒相关情况或者提交虚假备案材料的，信用评级行业主管部门省一级派出机构不予办理备案或者注销备案；已经开展信用评级业务的，处虚假备案期间评级业务收入50%的罚款，没有评级业务收入或者评级业务收入无法计算的，处50万元以上200万元以下的罚款；情节严重的，处虚假备案期间评级业务收入1倍以上3倍以下的罚款，没有评级业务收入或者评级业务收入无法计算的，处200万元以上500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第五十八条 信用评级机构违反本办法规定，有下列行为之一的，由信用评级行业主管部门、业务管理部门或者其派出机构给予警告，并处相关评级业务收入50%的罚款，没有评级业务收入或者评级业务收入无法计算的，处50万元以上200万元以下的罚款；情节严重或者拒不改正的，并处相关评级业务收入1倍以上3倍以下的罚款，没有评级业务收入或者评级业务收入无法计算的，处200万元以上500万元以下的罚款；对直接责任人员给予警告，并处3万元以上10万元以下的罚款:（一）未按照法定评级程序及业务规则开展信用评级业务的；（二）违反独立性要求的；（三）未按照规定披露信息或者披露虚假信息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第五十九条 信用评级机构违反本办法规定，有下列行为之一的，由信用评级行业主管部门、业务管理部门或者其派出机构给予警告，并处3万元罚款；拒不改正的，自违规行为发生之日起每日处1万元的罚款：（一）拒绝、阻碍信用评级行业主管部门、业务管理部门或者其派出机构检查、监管，或者不如实提供文件、资料的；（二）未按规定向信用评级行业主管部门、业务管理部门或者其派出机构报送报告、资料的；（三）违反本办法其他规定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第六十条 信用评级从业人员违反本办法规定，有下列行为之一的，由信用评级行业主管部门、业务管理部门或者其派出机构给予警告，并处违规收入50%的罚款，没有违规收入或者违规收入无法计算的，处50万元以上200万元以下的罚款；情节严重的，并处违规收入1倍以上3倍以下的罚款，没有违规收入或者违规收入无法计算的，处200万元以上500万元以下的罚款；涉嫌犯罪的，移送司法机关依法追究刑事责任：（一）从事与信用评级业务有利益冲突的兼职行为的；（二）以礼金、回扣等方式输送或者接受不正当利益的；（三）接受受评经济主体、受评债务融资工具发行人等相关主体的礼物或者现金馈赠，参与受评经济主体、受评债务融资工具发行人等相关主体组织的可能影响评级结果独立、客观、公正的活动的；（四）违反本办法第三十五条相关规定的；（五）离职并受聘于曾参与评级的受评经济主体、受评债务融资工具发行人、信用评级委托方或者主承销商，未通知信用评级机构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第六十一条 信用评级机构由于故意或者重大过失，对投资人、评级委托人或者评级对象利益造成严重损害的，由信用评级行业主管部门、业务管理部门或者其派出机构给予警告，并处相关评级业务收入1倍以上3倍以下的罚款，没有评级业务收入或者评级业务收入无法计算的，处200万元以上500万元以下的罚款；对直接责任人员给予警告，并处3万元以上10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第六十二条 信用评级行业主管部门、业务管理部门依据本办法相关规定，建立信用评价机制，定期对信用评级机构及信用评级从业人员的违法失信行为等开展信用评价，并将信用评价结果纳入信用评级机构信用档案。对信用评价较低的信用评级机构，可以采取向市场公开通报等惩戒措施。信用评级行业主管部门会同业务管理部门健全守信联合激励和失信联合惩戒机制。建立信用评级机构及信用评级从业人员“失信联合惩戒对象名单”管理制度，根据失信严重程度采取不同惩戒措施;对失信较严重的信用评级机构及信用评级从业人员，纳入“失信联合惩戒对象名单”管理范畴，列为市场不信任信用评级机构及失信信用评级从业人员，发起多部门联合惩戒与约束，情节严重的依法依规实施暂停业务或市场禁入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第六十三条 信用评级机构违反本办法有关规定，受到行政处罚的，信用评级行业主管部门、业务管理部门依法通过“信用中国”网站等渠道向社会公布。</w:t>
      </w:r>
    </w:p>
    <w:p>
      <w:pPr>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after="157" w:afterLines="50" w:afterAutospacing="0" w:line="360" w:lineRule="auto"/>
        <w:ind w:left="0" w:firstLine="420"/>
        <w:jc w:val="center"/>
        <w:textAlignment w:val="auto"/>
        <w:rPr>
          <w:rStyle w:val="24"/>
          <w:rFonts w:hint="default" w:ascii="黑体" w:hAnsi="黑体" w:eastAsia="黑体" w:cs="黑体"/>
          <w:b w:val="0"/>
          <w:bCs w:val="0"/>
          <w:color w:val="333333"/>
          <w:kern w:val="0"/>
          <w:sz w:val="21"/>
          <w:szCs w:val="21"/>
          <w:u w:val="none"/>
          <w:lang w:val="en-US" w:eastAsia="zh-CN" w:bidi="ar-SA"/>
        </w:rPr>
      </w:pPr>
      <w:r>
        <w:rPr>
          <w:rStyle w:val="24"/>
          <w:rFonts w:hint="default" w:ascii="黑体" w:hAnsi="黑体" w:eastAsia="黑体" w:cs="黑体"/>
          <w:b w:val="0"/>
          <w:bCs w:val="0"/>
          <w:color w:val="333333"/>
          <w:kern w:val="0"/>
          <w:sz w:val="21"/>
          <w:szCs w:val="21"/>
          <w:u w:val="none"/>
          <w:lang w:val="en-US" w:eastAsia="zh-CN" w:bidi="ar-SA"/>
        </w:rPr>
        <w:t>第九章 附 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第六十四条 信用评级机构自律组织依法开展行业自律管理，接受信用评级行业主管部门和业务管理部门的监督指导。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第六十五条 本办法实施前已经开展信用评级业务的机构，应当自本办法实施之日起六个月内，依照本办法规定向备案机构办理备案。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第六十六条 非信用评级机构为了自身业务开展的内部信用评级结果不得对外提供。</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第六十七条 主动评级是指信用评级机构未经委托，主要通过公开渠道收集评级对象相关资料，并以此为依据对相关经济主体或者债务融资工具开展的信用评级。信用评级机构开展主动评级的，不适用本办法第十九条、第二十五条、第二十六条、第二十七条、第二十八条的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第六十八条 依照评级协议，评级结果不公开的，信用评级机构在开展相关业务时，不适用本办法第二十六条、第二十七条、第二十八条的规定。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第六十九条 境外信用评级机构申请中华人民共和国境内有关信用评级业务资质的，依照信用评级行业主管部门和业务管理部门的相关规定执行。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第七十条 本办法所称受益所有人，是指最终拥有或控制信用评级机构的自然人，包括直接或间接拥有超过25%公司股权或者表决权，或者以其他形式可以对公司的决策、经营、管理形成有效控制或者实际影响的自然人。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第七十一条 本办法由信用评级行业主管部门会同业务管理部门解释。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r>
        <w:rPr>
          <w:rStyle w:val="24"/>
          <w:rFonts w:hint="default" w:ascii="宋体" w:hAnsi="宋体" w:eastAsia="宋体" w:cs="宋体"/>
          <w:b w:val="0"/>
          <w:bCs w:val="0"/>
          <w:color w:val="333333"/>
          <w:kern w:val="0"/>
          <w:sz w:val="21"/>
          <w:szCs w:val="21"/>
          <w:u w:val="none"/>
          <w:lang w:val="en-US" w:eastAsia="zh-CN" w:bidi="ar-SA"/>
        </w:rPr>
        <w:t>第七十二条 本办法自2019年12月26日起施行。</w:t>
      </w:r>
      <w:bookmarkEnd w:id="250"/>
      <w:bookmarkEnd w:id="251"/>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Style w:val="24"/>
          <w:rFonts w:hint="default" w:ascii="宋体" w:hAnsi="宋体" w:eastAsia="宋体" w:cs="宋体"/>
          <w:b w:val="0"/>
          <w:bCs w:val="0"/>
          <w:color w:val="333333"/>
          <w:kern w:val="0"/>
          <w:sz w:val="21"/>
          <w:szCs w:val="21"/>
          <w:u w:val="none"/>
          <w:lang w:val="en-US" w:eastAsia="zh-CN" w:bidi="ar-SA"/>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528" w:firstLineChars="200"/>
        <w:jc w:val="right"/>
        <w:textAlignment w:val="auto"/>
        <w:rPr>
          <w:rFonts w:hint="default" w:ascii="微软雅黑" w:hAnsi="微软雅黑" w:eastAsia="微软雅黑" w:cs="微软雅黑"/>
          <w:i w:val="0"/>
          <w:caps w:val="0"/>
          <w:color w:val="343434"/>
          <w:spacing w:val="0"/>
          <w:sz w:val="26"/>
          <w:szCs w:val="26"/>
          <w:shd w:val="clear" w:fill="F5F6E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A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rPr>
        <w:rStyle w:val="58"/>
      </w:rPr>
    </w:pPr>
    <w:r>
      <w:fldChar w:fldCharType="begin"/>
    </w:r>
    <w:r>
      <w:rPr>
        <w:rStyle w:val="58"/>
      </w:rPr>
      <w:instrText xml:space="preserve">PAGE  </w:instrText>
    </w:r>
    <w:r>
      <w:fldChar w:fldCharType="separate"/>
    </w:r>
    <w:r>
      <w:rPr>
        <w:rStyle w:val="58"/>
      </w:rPr>
      <w:t>2</w:t>
    </w:r>
    <w: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rPr>
        <w:rStyle w:val="58"/>
      </w:rPr>
    </w:pPr>
    <w:r>
      <w:fldChar w:fldCharType="begin"/>
    </w:r>
    <w:r>
      <w:rPr>
        <w:rStyle w:val="58"/>
      </w:rPr>
      <w:instrText xml:space="preserve">PAGE  </w:instrText>
    </w:r>
    <w:r>
      <w:fldChar w:fldCharType="end"/>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13E0CE"/>
    <w:multiLevelType w:val="singleLevel"/>
    <w:tmpl w:val="A813E0CE"/>
    <w:lvl w:ilvl="0" w:tentative="0">
      <w:start w:val="1"/>
      <w:numFmt w:val="chineseCounting"/>
      <w:suff w:val="nothing"/>
      <w:lvlText w:val="（%1）"/>
      <w:lvlJc w:val="left"/>
      <w:rPr>
        <w:rFonts w:hint="eastAsia"/>
      </w:rPr>
    </w:lvl>
  </w:abstractNum>
  <w:abstractNum w:abstractNumId="1">
    <w:nsid w:val="DF5925F3"/>
    <w:multiLevelType w:val="singleLevel"/>
    <w:tmpl w:val="DF5925F3"/>
    <w:lvl w:ilvl="0" w:tentative="0">
      <w:start w:val="1"/>
      <w:numFmt w:val="chineseCounting"/>
      <w:suff w:val="nothing"/>
      <w:lvlText w:val="（%1）"/>
      <w:lvlJc w:val="left"/>
      <w:rPr>
        <w:rFonts w:hint="eastAsia"/>
      </w:rPr>
    </w:lvl>
  </w:abstractNum>
  <w:abstractNum w:abstractNumId="2">
    <w:nsid w:val="03D5D41F"/>
    <w:multiLevelType w:val="singleLevel"/>
    <w:tmpl w:val="03D5D41F"/>
    <w:lvl w:ilvl="0" w:tentative="0">
      <w:start w:val="1"/>
      <w:numFmt w:val="chineseCounting"/>
      <w:suff w:val="nothing"/>
      <w:lvlText w:val="（%1）"/>
      <w:lvlJc w:val="left"/>
      <w:rPr>
        <w:rFonts w:hint="eastAsia"/>
      </w:rPr>
    </w:lvl>
  </w:abstractNum>
  <w:abstractNum w:abstractNumId="3">
    <w:nsid w:val="0FB14CD2"/>
    <w:multiLevelType w:val="singleLevel"/>
    <w:tmpl w:val="0FB14CD2"/>
    <w:lvl w:ilvl="0" w:tentative="0">
      <w:start w:val="1"/>
      <w:numFmt w:val="chineseCounting"/>
      <w:suff w:val="nothing"/>
      <w:lvlText w:val="（%1）"/>
      <w:lvlJc w:val="left"/>
      <w:rPr>
        <w:rFonts w:hint="eastAsia"/>
      </w:rPr>
    </w:lvl>
  </w:abstractNum>
  <w:abstractNum w:abstractNumId="4">
    <w:nsid w:val="7F1852DC"/>
    <w:multiLevelType w:val="singleLevel"/>
    <w:tmpl w:val="7F1852DC"/>
    <w:lvl w:ilvl="0" w:tentative="0">
      <w:start w:val="1"/>
      <w:numFmt w:val="chineseCounting"/>
      <w:suff w:val="nothing"/>
      <w:lvlText w:val="%1、"/>
      <w:lvlJc w:val="left"/>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53143"/>
    <w:rsid w:val="00000CAC"/>
    <w:rsid w:val="00001803"/>
    <w:rsid w:val="00005E31"/>
    <w:rsid w:val="00011B65"/>
    <w:rsid w:val="00014E2E"/>
    <w:rsid w:val="00017D10"/>
    <w:rsid w:val="000208EB"/>
    <w:rsid w:val="00025A57"/>
    <w:rsid w:val="00027F06"/>
    <w:rsid w:val="00032C91"/>
    <w:rsid w:val="0003586F"/>
    <w:rsid w:val="00043B5B"/>
    <w:rsid w:val="00047270"/>
    <w:rsid w:val="00051FBC"/>
    <w:rsid w:val="00053384"/>
    <w:rsid w:val="00053842"/>
    <w:rsid w:val="00053ABD"/>
    <w:rsid w:val="000554E9"/>
    <w:rsid w:val="00056A90"/>
    <w:rsid w:val="00056F8B"/>
    <w:rsid w:val="00057CCC"/>
    <w:rsid w:val="00060863"/>
    <w:rsid w:val="00060AFF"/>
    <w:rsid w:val="00060C04"/>
    <w:rsid w:val="0006258D"/>
    <w:rsid w:val="000660F4"/>
    <w:rsid w:val="00067522"/>
    <w:rsid w:val="00067605"/>
    <w:rsid w:val="000677FD"/>
    <w:rsid w:val="00075C8A"/>
    <w:rsid w:val="00083930"/>
    <w:rsid w:val="00085753"/>
    <w:rsid w:val="00085F03"/>
    <w:rsid w:val="000871F2"/>
    <w:rsid w:val="00087770"/>
    <w:rsid w:val="00087EE2"/>
    <w:rsid w:val="0009058D"/>
    <w:rsid w:val="0009193B"/>
    <w:rsid w:val="000948EA"/>
    <w:rsid w:val="00095795"/>
    <w:rsid w:val="0009594A"/>
    <w:rsid w:val="000A2302"/>
    <w:rsid w:val="000A633F"/>
    <w:rsid w:val="000B0A00"/>
    <w:rsid w:val="000B2F6E"/>
    <w:rsid w:val="000B4E7C"/>
    <w:rsid w:val="000B5E95"/>
    <w:rsid w:val="000B629F"/>
    <w:rsid w:val="000B723D"/>
    <w:rsid w:val="000C3F4F"/>
    <w:rsid w:val="000C54C7"/>
    <w:rsid w:val="000D01E1"/>
    <w:rsid w:val="000D3B98"/>
    <w:rsid w:val="000D3F65"/>
    <w:rsid w:val="000E3B5B"/>
    <w:rsid w:val="000E6332"/>
    <w:rsid w:val="000E6CCA"/>
    <w:rsid w:val="000F48CD"/>
    <w:rsid w:val="000F58B8"/>
    <w:rsid w:val="001001CA"/>
    <w:rsid w:val="001020E0"/>
    <w:rsid w:val="0010361E"/>
    <w:rsid w:val="00107639"/>
    <w:rsid w:val="001077B3"/>
    <w:rsid w:val="0011206C"/>
    <w:rsid w:val="00113464"/>
    <w:rsid w:val="001136D3"/>
    <w:rsid w:val="00116AEF"/>
    <w:rsid w:val="00122146"/>
    <w:rsid w:val="00123CCC"/>
    <w:rsid w:val="00123D50"/>
    <w:rsid w:val="00123E5C"/>
    <w:rsid w:val="00126D8D"/>
    <w:rsid w:val="00131A68"/>
    <w:rsid w:val="00132D37"/>
    <w:rsid w:val="001336F8"/>
    <w:rsid w:val="00135AD2"/>
    <w:rsid w:val="001373C9"/>
    <w:rsid w:val="001376A9"/>
    <w:rsid w:val="0014273A"/>
    <w:rsid w:val="00142E2C"/>
    <w:rsid w:val="00147B4B"/>
    <w:rsid w:val="001500A8"/>
    <w:rsid w:val="00153459"/>
    <w:rsid w:val="001541CB"/>
    <w:rsid w:val="00160555"/>
    <w:rsid w:val="001608BE"/>
    <w:rsid w:val="00164AE1"/>
    <w:rsid w:val="001668E8"/>
    <w:rsid w:val="00166CFC"/>
    <w:rsid w:val="00167772"/>
    <w:rsid w:val="0017065C"/>
    <w:rsid w:val="0017180E"/>
    <w:rsid w:val="00172374"/>
    <w:rsid w:val="00176E3E"/>
    <w:rsid w:val="00177B3C"/>
    <w:rsid w:val="00182A57"/>
    <w:rsid w:val="001840CA"/>
    <w:rsid w:val="0018525D"/>
    <w:rsid w:val="00191A4E"/>
    <w:rsid w:val="00191D0C"/>
    <w:rsid w:val="00192FE3"/>
    <w:rsid w:val="001A2AFE"/>
    <w:rsid w:val="001A3752"/>
    <w:rsid w:val="001A3E20"/>
    <w:rsid w:val="001A7D14"/>
    <w:rsid w:val="001B4A63"/>
    <w:rsid w:val="001B63D1"/>
    <w:rsid w:val="001C0979"/>
    <w:rsid w:val="001C1A4E"/>
    <w:rsid w:val="001C30A5"/>
    <w:rsid w:val="001C3464"/>
    <w:rsid w:val="001C46E9"/>
    <w:rsid w:val="001C5BF6"/>
    <w:rsid w:val="001D454B"/>
    <w:rsid w:val="001D5347"/>
    <w:rsid w:val="001D63E7"/>
    <w:rsid w:val="001E219E"/>
    <w:rsid w:val="001E6C36"/>
    <w:rsid w:val="001F0358"/>
    <w:rsid w:val="001F037E"/>
    <w:rsid w:val="001F070E"/>
    <w:rsid w:val="001F212F"/>
    <w:rsid w:val="001F23D9"/>
    <w:rsid w:val="001F54AF"/>
    <w:rsid w:val="001F7527"/>
    <w:rsid w:val="0020087E"/>
    <w:rsid w:val="0020218E"/>
    <w:rsid w:val="0020255F"/>
    <w:rsid w:val="00202C18"/>
    <w:rsid w:val="00203482"/>
    <w:rsid w:val="002040AE"/>
    <w:rsid w:val="002050BD"/>
    <w:rsid w:val="00205334"/>
    <w:rsid w:val="002130C1"/>
    <w:rsid w:val="00213161"/>
    <w:rsid w:val="00216176"/>
    <w:rsid w:val="0022391C"/>
    <w:rsid w:val="002275CC"/>
    <w:rsid w:val="002314A8"/>
    <w:rsid w:val="002353E1"/>
    <w:rsid w:val="00237B8C"/>
    <w:rsid w:val="00242242"/>
    <w:rsid w:val="002462F7"/>
    <w:rsid w:val="00246CD2"/>
    <w:rsid w:val="00247036"/>
    <w:rsid w:val="002508A2"/>
    <w:rsid w:val="00252C79"/>
    <w:rsid w:val="00253143"/>
    <w:rsid w:val="00253F78"/>
    <w:rsid w:val="002541A4"/>
    <w:rsid w:val="0026003C"/>
    <w:rsid w:val="002607DF"/>
    <w:rsid w:val="00265BE6"/>
    <w:rsid w:val="002665CB"/>
    <w:rsid w:val="00267334"/>
    <w:rsid w:val="002721CA"/>
    <w:rsid w:val="00273A51"/>
    <w:rsid w:val="0027509D"/>
    <w:rsid w:val="002750FC"/>
    <w:rsid w:val="00275DC8"/>
    <w:rsid w:val="00280CE9"/>
    <w:rsid w:val="00281D2E"/>
    <w:rsid w:val="002838B1"/>
    <w:rsid w:val="0028623B"/>
    <w:rsid w:val="0029630E"/>
    <w:rsid w:val="00296420"/>
    <w:rsid w:val="002976DE"/>
    <w:rsid w:val="002A427F"/>
    <w:rsid w:val="002A4596"/>
    <w:rsid w:val="002A7915"/>
    <w:rsid w:val="002B06C3"/>
    <w:rsid w:val="002B0941"/>
    <w:rsid w:val="002B63BB"/>
    <w:rsid w:val="002B6EE8"/>
    <w:rsid w:val="002C0004"/>
    <w:rsid w:val="002C24B4"/>
    <w:rsid w:val="002C284B"/>
    <w:rsid w:val="002C320F"/>
    <w:rsid w:val="002D3C32"/>
    <w:rsid w:val="002D432E"/>
    <w:rsid w:val="002D78F2"/>
    <w:rsid w:val="002E11B4"/>
    <w:rsid w:val="002E1E9F"/>
    <w:rsid w:val="002E4437"/>
    <w:rsid w:val="002E5418"/>
    <w:rsid w:val="002E5424"/>
    <w:rsid w:val="002E5686"/>
    <w:rsid w:val="002E7F33"/>
    <w:rsid w:val="002F0075"/>
    <w:rsid w:val="002F02A0"/>
    <w:rsid w:val="002F566E"/>
    <w:rsid w:val="00300BB4"/>
    <w:rsid w:val="00302C64"/>
    <w:rsid w:val="003041F8"/>
    <w:rsid w:val="003049FE"/>
    <w:rsid w:val="0030668A"/>
    <w:rsid w:val="003107C8"/>
    <w:rsid w:val="0031143B"/>
    <w:rsid w:val="00313749"/>
    <w:rsid w:val="00314194"/>
    <w:rsid w:val="00316B11"/>
    <w:rsid w:val="003218AA"/>
    <w:rsid w:val="0032227F"/>
    <w:rsid w:val="00324FCC"/>
    <w:rsid w:val="0032667B"/>
    <w:rsid w:val="00326BFD"/>
    <w:rsid w:val="00331089"/>
    <w:rsid w:val="0033235A"/>
    <w:rsid w:val="0033244E"/>
    <w:rsid w:val="0033430E"/>
    <w:rsid w:val="003344B5"/>
    <w:rsid w:val="00336935"/>
    <w:rsid w:val="003411E7"/>
    <w:rsid w:val="00341F03"/>
    <w:rsid w:val="003424B0"/>
    <w:rsid w:val="00343143"/>
    <w:rsid w:val="003438B3"/>
    <w:rsid w:val="0034402B"/>
    <w:rsid w:val="003463B2"/>
    <w:rsid w:val="00351017"/>
    <w:rsid w:val="00351021"/>
    <w:rsid w:val="003545FF"/>
    <w:rsid w:val="003552A2"/>
    <w:rsid w:val="0035554C"/>
    <w:rsid w:val="003563FC"/>
    <w:rsid w:val="00356F12"/>
    <w:rsid w:val="0036543B"/>
    <w:rsid w:val="003666BA"/>
    <w:rsid w:val="00366C52"/>
    <w:rsid w:val="00367ABA"/>
    <w:rsid w:val="003721F4"/>
    <w:rsid w:val="0037370F"/>
    <w:rsid w:val="003752FD"/>
    <w:rsid w:val="0038247E"/>
    <w:rsid w:val="00383B8B"/>
    <w:rsid w:val="00385214"/>
    <w:rsid w:val="00387040"/>
    <w:rsid w:val="003921EB"/>
    <w:rsid w:val="00396226"/>
    <w:rsid w:val="00396536"/>
    <w:rsid w:val="003A29AF"/>
    <w:rsid w:val="003A29D2"/>
    <w:rsid w:val="003A3F19"/>
    <w:rsid w:val="003A4784"/>
    <w:rsid w:val="003A689F"/>
    <w:rsid w:val="003B0E1A"/>
    <w:rsid w:val="003B10D0"/>
    <w:rsid w:val="003B2296"/>
    <w:rsid w:val="003B2FB2"/>
    <w:rsid w:val="003B478A"/>
    <w:rsid w:val="003B51AA"/>
    <w:rsid w:val="003B51E1"/>
    <w:rsid w:val="003B5499"/>
    <w:rsid w:val="003C611D"/>
    <w:rsid w:val="003C6BC2"/>
    <w:rsid w:val="003C7C20"/>
    <w:rsid w:val="003D0777"/>
    <w:rsid w:val="003D164B"/>
    <w:rsid w:val="003D30EB"/>
    <w:rsid w:val="003E2B7D"/>
    <w:rsid w:val="003E3FA8"/>
    <w:rsid w:val="003E5493"/>
    <w:rsid w:val="003E5D2B"/>
    <w:rsid w:val="003E6952"/>
    <w:rsid w:val="003E7D99"/>
    <w:rsid w:val="003F245E"/>
    <w:rsid w:val="003F5097"/>
    <w:rsid w:val="0040025B"/>
    <w:rsid w:val="00400613"/>
    <w:rsid w:val="00404E73"/>
    <w:rsid w:val="00410DBF"/>
    <w:rsid w:val="004118EB"/>
    <w:rsid w:val="00411E33"/>
    <w:rsid w:val="004131E8"/>
    <w:rsid w:val="00414A07"/>
    <w:rsid w:val="00416AE8"/>
    <w:rsid w:val="00435517"/>
    <w:rsid w:val="0043579D"/>
    <w:rsid w:val="00436E08"/>
    <w:rsid w:val="00442F2D"/>
    <w:rsid w:val="00443025"/>
    <w:rsid w:val="0044355B"/>
    <w:rsid w:val="00444085"/>
    <w:rsid w:val="00444F63"/>
    <w:rsid w:val="00445232"/>
    <w:rsid w:val="00446DC9"/>
    <w:rsid w:val="00451082"/>
    <w:rsid w:val="00451301"/>
    <w:rsid w:val="004522E3"/>
    <w:rsid w:val="004526AE"/>
    <w:rsid w:val="00454511"/>
    <w:rsid w:val="004556A4"/>
    <w:rsid w:val="0045790D"/>
    <w:rsid w:val="0046211C"/>
    <w:rsid w:val="00462A3F"/>
    <w:rsid w:val="00463F65"/>
    <w:rsid w:val="00467825"/>
    <w:rsid w:val="00467916"/>
    <w:rsid w:val="00471F25"/>
    <w:rsid w:val="0047417C"/>
    <w:rsid w:val="00475737"/>
    <w:rsid w:val="00476801"/>
    <w:rsid w:val="0047790B"/>
    <w:rsid w:val="00483789"/>
    <w:rsid w:val="00484BA4"/>
    <w:rsid w:val="00485D27"/>
    <w:rsid w:val="0048622C"/>
    <w:rsid w:val="00486824"/>
    <w:rsid w:val="004957FB"/>
    <w:rsid w:val="004A43E0"/>
    <w:rsid w:val="004B0853"/>
    <w:rsid w:val="004B1DF3"/>
    <w:rsid w:val="004B1E77"/>
    <w:rsid w:val="004B59EB"/>
    <w:rsid w:val="004B5C09"/>
    <w:rsid w:val="004B6BD2"/>
    <w:rsid w:val="004B6E0F"/>
    <w:rsid w:val="004C10F1"/>
    <w:rsid w:val="004C1CED"/>
    <w:rsid w:val="004C2A99"/>
    <w:rsid w:val="004C2FDF"/>
    <w:rsid w:val="004D3132"/>
    <w:rsid w:val="004D39BC"/>
    <w:rsid w:val="004D418E"/>
    <w:rsid w:val="004D7214"/>
    <w:rsid w:val="004E323C"/>
    <w:rsid w:val="004E4353"/>
    <w:rsid w:val="004E6A6E"/>
    <w:rsid w:val="004E73B1"/>
    <w:rsid w:val="004F23AB"/>
    <w:rsid w:val="004F2830"/>
    <w:rsid w:val="004F35C1"/>
    <w:rsid w:val="004F642D"/>
    <w:rsid w:val="004F7959"/>
    <w:rsid w:val="005015EE"/>
    <w:rsid w:val="00503D0E"/>
    <w:rsid w:val="00505137"/>
    <w:rsid w:val="005052D2"/>
    <w:rsid w:val="00505A48"/>
    <w:rsid w:val="005101DC"/>
    <w:rsid w:val="005119CD"/>
    <w:rsid w:val="00512399"/>
    <w:rsid w:val="00515335"/>
    <w:rsid w:val="005158AB"/>
    <w:rsid w:val="005169A0"/>
    <w:rsid w:val="0052368C"/>
    <w:rsid w:val="0052587C"/>
    <w:rsid w:val="00531DCC"/>
    <w:rsid w:val="005329CD"/>
    <w:rsid w:val="00533662"/>
    <w:rsid w:val="00536D77"/>
    <w:rsid w:val="00541403"/>
    <w:rsid w:val="00547E87"/>
    <w:rsid w:val="0055236C"/>
    <w:rsid w:val="0055574B"/>
    <w:rsid w:val="005576CA"/>
    <w:rsid w:val="00560267"/>
    <w:rsid w:val="005608DE"/>
    <w:rsid w:val="00564677"/>
    <w:rsid w:val="00567B42"/>
    <w:rsid w:val="005708C8"/>
    <w:rsid w:val="0057373C"/>
    <w:rsid w:val="00574CE2"/>
    <w:rsid w:val="00574E8B"/>
    <w:rsid w:val="005804CA"/>
    <w:rsid w:val="00581E8B"/>
    <w:rsid w:val="00582BBE"/>
    <w:rsid w:val="0058442A"/>
    <w:rsid w:val="00584F3A"/>
    <w:rsid w:val="00585388"/>
    <w:rsid w:val="00585620"/>
    <w:rsid w:val="00587234"/>
    <w:rsid w:val="00587B0B"/>
    <w:rsid w:val="0059453C"/>
    <w:rsid w:val="00595AD1"/>
    <w:rsid w:val="005A031E"/>
    <w:rsid w:val="005A0DC8"/>
    <w:rsid w:val="005A158E"/>
    <w:rsid w:val="005A7AD5"/>
    <w:rsid w:val="005B0005"/>
    <w:rsid w:val="005B1E90"/>
    <w:rsid w:val="005B2A5A"/>
    <w:rsid w:val="005B37FD"/>
    <w:rsid w:val="005C0457"/>
    <w:rsid w:val="005C0C6C"/>
    <w:rsid w:val="005C2267"/>
    <w:rsid w:val="005C27C1"/>
    <w:rsid w:val="005C322B"/>
    <w:rsid w:val="005C7676"/>
    <w:rsid w:val="005D4DAC"/>
    <w:rsid w:val="005D7C5D"/>
    <w:rsid w:val="005E0B9E"/>
    <w:rsid w:val="005E212E"/>
    <w:rsid w:val="005F12BF"/>
    <w:rsid w:val="005F1544"/>
    <w:rsid w:val="005F33E5"/>
    <w:rsid w:val="005F43E8"/>
    <w:rsid w:val="005F68E2"/>
    <w:rsid w:val="005F7D96"/>
    <w:rsid w:val="00601793"/>
    <w:rsid w:val="00602F9E"/>
    <w:rsid w:val="00604D54"/>
    <w:rsid w:val="00605069"/>
    <w:rsid w:val="006051A8"/>
    <w:rsid w:val="006078B7"/>
    <w:rsid w:val="00610E29"/>
    <w:rsid w:val="0061198E"/>
    <w:rsid w:val="0061374A"/>
    <w:rsid w:val="0061560C"/>
    <w:rsid w:val="00615673"/>
    <w:rsid w:val="00616034"/>
    <w:rsid w:val="006175E5"/>
    <w:rsid w:val="00623223"/>
    <w:rsid w:val="00624B6C"/>
    <w:rsid w:val="00625587"/>
    <w:rsid w:val="006317D4"/>
    <w:rsid w:val="00632F32"/>
    <w:rsid w:val="00635995"/>
    <w:rsid w:val="00635BC0"/>
    <w:rsid w:val="00637409"/>
    <w:rsid w:val="00641048"/>
    <w:rsid w:val="00641740"/>
    <w:rsid w:val="0064346A"/>
    <w:rsid w:val="0064350F"/>
    <w:rsid w:val="00646C4B"/>
    <w:rsid w:val="00647179"/>
    <w:rsid w:val="00647181"/>
    <w:rsid w:val="006544A1"/>
    <w:rsid w:val="006575D0"/>
    <w:rsid w:val="0066092D"/>
    <w:rsid w:val="00662685"/>
    <w:rsid w:val="00664C4E"/>
    <w:rsid w:val="00665031"/>
    <w:rsid w:val="00665CA2"/>
    <w:rsid w:val="006679EE"/>
    <w:rsid w:val="0067194B"/>
    <w:rsid w:val="00675DFF"/>
    <w:rsid w:val="00676A6D"/>
    <w:rsid w:val="00677BEF"/>
    <w:rsid w:val="00680112"/>
    <w:rsid w:val="0068336C"/>
    <w:rsid w:val="00686ABD"/>
    <w:rsid w:val="0069066F"/>
    <w:rsid w:val="00690690"/>
    <w:rsid w:val="00691E68"/>
    <w:rsid w:val="0069220C"/>
    <w:rsid w:val="0069487B"/>
    <w:rsid w:val="0069546D"/>
    <w:rsid w:val="00696328"/>
    <w:rsid w:val="00697BED"/>
    <w:rsid w:val="006A1250"/>
    <w:rsid w:val="006A2752"/>
    <w:rsid w:val="006A4514"/>
    <w:rsid w:val="006A5740"/>
    <w:rsid w:val="006A7039"/>
    <w:rsid w:val="006B2ED6"/>
    <w:rsid w:val="006B2FB2"/>
    <w:rsid w:val="006B627C"/>
    <w:rsid w:val="006B62CF"/>
    <w:rsid w:val="006C060B"/>
    <w:rsid w:val="006C7E44"/>
    <w:rsid w:val="006C7E78"/>
    <w:rsid w:val="006D0699"/>
    <w:rsid w:val="006D2213"/>
    <w:rsid w:val="006D41F6"/>
    <w:rsid w:val="006D7301"/>
    <w:rsid w:val="006D73CD"/>
    <w:rsid w:val="006D762E"/>
    <w:rsid w:val="006E00BF"/>
    <w:rsid w:val="006E128D"/>
    <w:rsid w:val="006E366B"/>
    <w:rsid w:val="006E72CF"/>
    <w:rsid w:val="006E75B1"/>
    <w:rsid w:val="006F6040"/>
    <w:rsid w:val="006F6301"/>
    <w:rsid w:val="006F6D57"/>
    <w:rsid w:val="006F7DB5"/>
    <w:rsid w:val="00701C56"/>
    <w:rsid w:val="00701FC8"/>
    <w:rsid w:val="007029E0"/>
    <w:rsid w:val="007052B9"/>
    <w:rsid w:val="00705E82"/>
    <w:rsid w:val="007078A7"/>
    <w:rsid w:val="00707F73"/>
    <w:rsid w:val="00711196"/>
    <w:rsid w:val="00711885"/>
    <w:rsid w:val="0071281F"/>
    <w:rsid w:val="00712E33"/>
    <w:rsid w:val="00713BBB"/>
    <w:rsid w:val="007205B4"/>
    <w:rsid w:val="00723F52"/>
    <w:rsid w:val="00724164"/>
    <w:rsid w:val="007256FD"/>
    <w:rsid w:val="007261B0"/>
    <w:rsid w:val="00726B2E"/>
    <w:rsid w:val="00727047"/>
    <w:rsid w:val="00727D21"/>
    <w:rsid w:val="007317C8"/>
    <w:rsid w:val="00734EDD"/>
    <w:rsid w:val="00735A2C"/>
    <w:rsid w:val="0073766A"/>
    <w:rsid w:val="0074081B"/>
    <w:rsid w:val="00740ECA"/>
    <w:rsid w:val="0074388F"/>
    <w:rsid w:val="007438A3"/>
    <w:rsid w:val="00744290"/>
    <w:rsid w:val="0075067D"/>
    <w:rsid w:val="00752DCD"/>
    <w:rsid w:val="00753E40"/>
    <w:rsid w:val="0075439B"/>
    <w:rsid w:val="00754F2C"/>
    <w:rsid w:val="00757DEA"/>
    <w:rsid w:val="00761E1C"/>
    <w:rsid w:val="0076625F"/>
    <w:rsid w:val="00767BE3"/>
    <w:rsid w:val="00771B1E"/>
    <w:rsid w:val="00774F69"/>
    <w:rsid w:val="0077675D"/>
    <w:rsid w:val="00776880"/>
    <w:rsid w:val="00777B84"/>
    <w:rsid w:val="0078235E"/>
    <w:rsid w:val="00785B5F"/>
    <w:rsid w:val="007879CE"/>
    <w:rsid w:val="00791D3D"/>
    <w:rsid w:val="007A2039"/>
    <w:rsid w:val="007A7C5A"/>
    <w:rsid w:val="007B22E0"/>
    <w:rsid w:val="007B2C98"/>
    <w:rsid w:val="007B7B26"/>
    <w:rsid w:val="007C0CE9"/>
    <w:rsid w:val="007C1697"/>
    <w:rsid w:val="007C31A1"/>
    <w:rsid w:val="007C484D"/>
    <w:rsid w:val="007C5CD0"/>
    <w:rsid w:val="007D01F7"/>
    <w:rsid w:val="007D0EE7"/>
    <w:rsid w:val="007D1704"/>
    <w:rsid w:val="007D1DC0"/>
    <w:rsid w:val="007D1F8D"/>
    <w:rsid w:val="007D5EF6"/>
    <w:rsid w:val="007D658C"/>
    <w:rsid w:val="007E0C38"/>
    <w:rsid w:val="007E4C30"/>
    <w:rsid w:val="007E74F2"/>
    <w:rsid w:val="007F4883"/>
    <w:rsid w:val="007F5BEC"/>
    <w:rsid w:val="007F65B6"/>
    <w:rsid w:val="00800E78"/>
    <w:rsid w:val="00801774"/>
    <w:rsid w:val="00803949"/>
    <w:rsid w:val="008043A5"/>
    <w:rsid w:val="00805EDF"/>
    <w:rsid w:val="00807DFA"/>
    <w:rsid w:val="00813101"/>
    <w:rsid w:val="00820CD6"/>
    <w:rsid w:val="008223E9"/>
    <w:rsid w:val="00824A6D"/>
    <w:rsid w:val="00825047"/>
    <w:rsid w:val="008269D6"/>
    <w:rsid w:val="0083241C"/>
    <w:rsid w:val="00833CAA"/>
    <w:rsid w:val="0083456F"/>
    <w:rsid w:val="00834F55"/>
    <w:rsid w:val="00843FCA"/>
    <w:rsid w:val="00844702"/>
    <w:rsid w:val="0084724C"/>
    <w:rsid w:val="008500BD"/>
    <w:rsid w:val="00851672"/>
    <w:rsid w:val="00856F0C"/>
    <w:rsid w:val="00857D43"/>
    <w:rsid w:val="00860108"/>
    <w:rsid w:val="0086403A"/>
    <w:rsid w:val="008712FA"/>
    <w:rsid w:val="0087203D"/>
    <w:rsid w:val="008720B5"/>
    <w:rsid w:val="00872596"/>
    <w:rsid w:val="00873B71"/>
    <w:rsid w:val="00883CF5"/>
    <w:rsid w:val="00886A52"/>
    <w:rsid w:val="00887AA3"/>
    <w:rsid w:val="00892196"/>
    <w:rsid w:val="00892AEB"/>
    <w:rsid w:val="008952CA"/>
    <w:rsid w:val="008A2723"/>
    <w:rsid w:val="008A420F"/>
    <w:rsid w:val="008B2B8F"/>
    <w:rsid w:val="008B404B"/>
    <w:rsid w:val="008B77D2"/>
    <w:rsid w:val="008C0B1E"/>
    <w:rsid w:val="008C57BA"/>
    <w:rsid w:val="008D2BF2"/>
    <w:rsid w:val="008D2CBB"/>
    <w:rsid w:val="008D4B93"/>
    <w:rsid w:val="008E298A"/>
    <w:rsid w:val="008E7ABD"/>
    <w:rsid w:val="008F438F"/>
    <w:rsid w:val="008F6A52"/>
    <w:rsid w:val="008F7D73"/>
    <w:rsid w:val="00902290"/>
    <w:rsid w:val="00902A3D"/>
    <w:rsid w:val="00902C87"/>
    <w:rsid w:val="009037B9"/>
    <w:rsid w:val="00903834"/>
    <w:rsid w:val="009053C5"/>
    <w:rsid w:val="00916A72"/>
    <w:rsid w:val="00923165"/>
    <w:rsid w:val="009310B4"/>
    <w:rsid w:val="009325B4"/>
    <w:rsid w:val="00941A7F"/>
    <w:rsid w:val="0094215F"/>
    <w:rsid w:val="00943856"/>
    <w:rsid w:val="00944842"/>
    <w:rsid w:val="009521A2"/>
    <w:rsid w:val="00952AC4"/>
    <w:rsid w:val="00952DFF"/>
    <w:rsid w:val="00953839"/>
    <w:rsid w:val="0095425D"/>
    <w:rsid w:val="009544B3"/>
    <w:rsid w:val="00965821"/>
    <w:rsid w:val="00966B90"/>
    <w:rsid w:val="00971FF6"/>
    <w:rsid w:val="009720B2"/>
    <w:rsid w:val="00973364"/>
    <w:rsid w:val="0097492A"/>
    <w:rsid w:val="00975F35"/>
    <w:rsid w:val="00981B0A"/>
    <w:rsid w:val="00981F96"/>
    <w:rsid w:val="00982EF6"/>
    <w:rsid w:val="00990509"/>
    <w:rsid w:val="00993883"/>
    <w:rsid w:val="0099389D"/>
    <w:rsid w:val="009938E2"/>
    <w:rsid w:val="009942D7"/>
    <w:rsid w:val="00997F20"/>
    <w:rsid w:val="009A17C4"/>
    <w:rsid w:val="009A3168"/>
    <w:rsid w:val="009A3897"/>
    <w:rsid w:val="009B3481"/>
    <w:rsid w:val="009B50AB"/>
    <w:rsid w:val="009C118E"/>
    <w:rsid w:val="009C1239"/>
    <w:rsid w:val="009C1552"/>
    <w:rsid w:val="009C601F"/>
    <w:rsid w:val="009C7EE5"/>
    <w:rsid w:val="009D2BB6"/>
    <w:rsid w:val="009D2E9C"/>
    <w:rsid w:val="009D37C2"/>
    <w:rsid w:val="009D4C4C"/>
    <w:rsid w:val="009D5859"/>
    <w:rsid w:val="009D7D7A"/>
    <w:rsid w:val="009E02D7"/>
    <w:rsid w:val="009E79FF"/>
    <w:rsid w:val="009F0835"/>
    <w:rsid w:val="009F421F"/>
    <w:rsid w:val="009F6518"/>
    <w:rsid w:val="009F67AC"/>
    <w:rsid w:val="00A00880"/>
    <w:rsid w:val="00A02884"/>
    <w:rsid w:val="00A06739"/>
    <w:rsid w:val="00A10E7E"/>
    <w:rsid w:val="00A207EB"/>
    <w:rsid w:val="00A20862"/>
    <w:rsid w:val="00A216A0"/>
    <w:rsid w:val="00A22FC1"/>
    <w:rsid w:val="00A23EE9"/>
    <w:rsid w:val="00A240D8"/>
    <w:rsid w:val="00A25626"/>
    <w:rsid w:val="00A2743F"/>
    <w:rsid w:val="00A33A57"/>
    <w:rsid w:val="00A33CAC"/>
    <w:rsid w:val="00A33FC9"/>
    <w:rsid w:val="00A356A1"/>
    <w:rsid w:val="00A36CCF"/>
    <w:rsid w:val="00A36E7A"/>
    <w:rsid w:val="00A37A33"/>
    <w:rsid w:val="00A37F58"/>
    <w:rsid w:val="00A40357"/>
    <w:rsid w:val="00A4257C"/>
    <w:rsid w:val="00A440A0"/>
    <w:rsid w:val="00A4479D"/>
    <w:rsid w:val="00A45846"/>
    <w:rsid w:val="00A46F9B"/>
    <w:rsid w:val="00A51AA6"/>
    <w:rsid w:val="00A53923"/>
    <w:rsid w:val="00A539A8"/>
    <w:rsid w:val="00A56EC6"/>
    <w:rsid w:val="00A60B9A"/>
    <w:rsid w:val="00A616EE"/>
    <w:rsid w:val="00A622FD"/>
    <w:rsid w:val="00A641FA"/>
    <w:rsid w:val="00A650BD"/>
    <w:rsid w:val="00A66472"/>
    <w:rsid w:val="00A664AE"/>
    <w:rsid w:val="00A70FB2"/>
    <w:rsid w:val="00A7109B"/>
    <w:rsid w:val="00A72D85"/>
    <w:rsid w:val="00A730E4"/>
    <w:rsid w:val="00A739D2"/>
    <w:rsid w:val="00A76C0C"/>
    <w:rsid w:val="00A8273F"/>
    <w:rsid w:val="00A85500"/>
    <w:rsid w:val="00A923B6"/>
    <w:rsid w:val="00AA231B"/>
    <w:rsid w:val="00AA357D"/>
    <w:rsid w:val="00AA4F29"/>
    <w:rsid w:val="00AA5AA6"/>
    <w:rsid w:val="00AB0906"/>
    <w:rsid w:val="00AB1C98"/>
    <w:rsid w:val="00AB258D"/>
    <w:rsid w:val="00AB27C9"/>
    <w:rsid w:val="00AB43F1"/>
    <w:rsid w:val="00AB66B8"/>
    <w:rsid w:val="00AC4B7E"/>
    <w:rsid w:val="00AC7966"/>
    <w:rsid w:val="00AD0864"/>
    <w:rsid w:val="00AD1BAD"/>
    <w:rsid w:val="00AD2888"/>
    <w:rsid w:val="00AD2AE3"/>
    <w:rsid w:val="00AD40D3"/>
    <w:rsid w:val="00AD4EEB"/>
    <w:rsid w:val="00AD61DE"/>
    <w:rsid w:val="00AD6844"/>
    <w:rsid w:val="00AD74C7"/>
    <w:rsid w:val="00AE092E"/>
    <w:rsid w:val="00AE167F"/>
    <w:rsid w:val="00AE1D3A"/>
    <w:rsid w:val="00AE564C"/>
    <w:rsid w:val="00AE5E5E"/>
    <w:rsid w:val="00AE65D0"/>
    <w:rsid w:val="00AE6CED"/>
    <w:rsid w:val="00AF061E"/>
    <w:rsid w:val="00AF1090"/>
    <w:rsid w:val="00AF1C2D"/>
    <w:rsid w:val="00AF3EB8"/>
    <w:rsid w:val="00AF468E"/>
    <w:rsid w:val="00AF517B"/>
    <w:rsid w:val="00AF6FC7"/>
    <w:rsid w:val="00B008FC"/>
    <w:rsid w:val="00B042A3"/>
    <w:rsid w:val="00B047DD"/>
    <w:rsid w:val="00B06BA7"/>
    <w:rsid w:val="00B078E3"/>
    <w:rsid w:val="00B07D69"/>
    <w:rsid w:val="00B12BBC"/>
    <w:rsid w:val="00B16E9E"/>
    <w:rsid w:val="00B2020D"/>
    <w:rsid w:val="00B2738B"/>
    <w:rsid w:val="00B2753E"/>
    <w:rsid w:val="00B2758B"/>
    <w:rsid w:val="00B3036D"/>
    <w:rsid w:val="00B30B05"/>
    <w:rsid w:val="00B30F83"/>
    <w:rsid w:val="00B31354"/>
    <w:rsid w:val="00B31891"/>
    <w:rsid w:val="00B41FFA"/>
    <w:rsid w:val="00B439DF"/>
    <w:rsid w:val="00B44BA7"/>
    <w:rsid w:val="00B46E08"/>
    <w:rsid w:val="00B51ACC"/>
    <w:rsid w:val="00B52D86"/>
    <w:rsid w:val="00B54E82"/>
    <w:rsid w:val="00B57E2D"/>
    <w:rsid w:val="00B61B1A"/>
    <w:rsid w:val="00B65C39"/>
    <w:rsid w:val="00B664A6"/>
    <w:rsid w:val="00B67ECE"/>
    <w:rsid w:val="00B73FE7"/>
    <w:rsid w:val="00B7665B"/>
    <w:rsid w:val="00B81032"/>
    <w:rsid w:val="00B81F6A"/>
    <w:rsid w:val="00B83BE6"/>
    <w:rsid w:val="00B85195"/>
    <w:rsid w:val="00B87E51"/>
    <w:rsid w:val="00B90DBB"/>
    <w:rsid w:val="00B942D1"/>
    <w:rsid w:val="00B94E72"/>
    <w:rsid w:val="00B94F73"/>
    <w:rsid w:val="00B96622"/>
    <w:rsid w:val="00B96B88"/>
    <w:rsid w:val="00BA4059"/>
    <w:rsid w:val="00BA4872"/>
    <w:rsid w:val="00BA59F1"/>
    <w:rsid w:val="00BB130B"/>
    <w:rsid w:val="00BC19A8"/>
    <w:rsid w:val="00BC2921"/>
    <w:rsid w:val="00BC6690"/>
    <w:rsid w:val="00BC6FC5"/>
    <w:rsid w:val="00BC70AF"/>
    <w:rsid w:val="00BC7150"/>
    <w:rsid w:val="00BD4F2F"/>
    <w:rsid w:val="00BD5186"/>
    <w:rsid w:val="00BD5F4C"/>
    <w:rsid w:val="00BE29CC"/>
    <w:rsid w:val="00BE2EDF"/>
    <w:rsid w:val="00BE39FC"/>
    <w:rsid w:val="00BF2165"/>
    <w:rsid w:val="00BF29D5"/>
    <w:rsid w:val="00BF4884"/>
    <w:rsid w:val="00BF4B08"/>
    <w:rsid w:val="00BF63BB"/>
    <w:rsid w:val="00BF7B04"/>
    <w:rsid w:val="00C046E2"/>
    <w:rsid w:val="00C05CBF"/>
    <w:rsid w:val="00C06C28"/>
    <w:rsid w:val="00C120B6"/>
    <w:rsid w:val="00C1429C"/>
    <w:rsid w:val="00C231BF"/>
    <w:rsid w:val="00C26C2F"/>
    <w:rsid w:val="00C30001"/>
    <w:rsid w:val="00C32679"/>
    <w:rsid w:val="00C33333"/>
    <w:rsid w:val="00C35488"/>
    <w:rsid w:val="00C375F6"/>
    <w:rsid w:val="00C40DD1"/>
    <w:rsid w:val="00C41E82"/>
    <w:rsid w:val="00C43A80"/>
    <w:rsid w:val="00C43E78"/>
    <w:rsid w:val="00C47DD1"/>
    <w:rsid w:val="00C50161"/>
    <w:rsid w:val="00C505B1"/>
    <w:rsid w:val="00C521CB"/>
    <w:rsid w:val="00C52BEF"/>
    <w:rsid w:val="00C530DA"/>
    <w:rsid w:val="00C5462A"/>
    <w:rsid w:val="00C56AE4"/>
    <w:rsid w:val="00C57EA0"/>
    <w:rsid w:val="00C57FCA"/>
    <w:rsid w:val="00C636FD"/>
    <w:rsid w:val="00C643D3"/>
    <w:rsid w:val="00C738BE"/>
    <w:rsid w:val="00C74076"/>
    <w:rsid w:val="00C76DBA"/>
    <w:rsid w:val="00C814F2"/>
    <w:rsid w:val="00C82CA7"/>
    <w:rsid w:val="00C8413A"/>
    <w:rsid w:val="00C85CE4"/>
    <w:rsid w:val="00C93757"/>
    <w:rsid w:val="00C941F5"/>
    <w:rsid w:val="00C97698"/>
    <w:rsid w:val="00CA1909"/>
    <w:rsid w:val="00CA7430"/>
    <w:rsid w:val="00CB0A08"/>
    <w:rsid w:val="00CB1D08"/>
    <w:rsid w:val="00CB6A0C"/>
    <w:rsid w:val="00CB71BC"/>
    <w:rsid w:val="00CB7B5A"/>
    <w:rsid w:val="00CC0CF0"/>
    <w:rsid w:val="00CC34C1"/>
    <w:rsid w:val="00CC4C66"/>
    <w:rsid w:val="00CC6F09"/>
    <w:rsid w:val="00CD2F74"/>
    <w:rsid w:val="00CD62C2"/>
    <w:rsid w:val="00CD7E01"/>
    <w:rsid w:val="00CE0342"/>
    <w:rsid w:val="00CE174E"/>
    <w:rsid w:val="00CE1BCA"/>
    <w:rsid w:val="00CE5226"/>
    <w:rsid w:val="00CF3891"/>
    <w:rsid w:val="00CF439A"/>
    <w:rsid w:val="00D024D6"/>
    <w:rsid w:val="00D04A03"/>
    <w:rsid w:val="00D07FAD"/>
    <w:rsid w:val="00D10C24"/>
    <w:rsid w:val="00D13A57"/>
    <w:rsid w:val="00D13EDD"/>
    <w:rsid w:val="00D14657"/>
    <w:rsid w:val="00D234F6"/>
    <w:rsid w:val="00D24010"/>
    <w:rsid w:val="00D240C8"/>
    <w:rsid w:val="00D2507A"/>
    <w:rsid w:val="00D310F8"/>
    <w:rsid w:val="00D333C5"/>
    <w:rsid w:val="00D33E58"/>
    <w:rsid w:val="00D35659"/>
    <w:rsid w:val="00D365A6"/>
    <w:rsid w:val="00D373EE"/>
    <w:rsid w:val="00D4679A"/>
    <w:rsid w:val="00D46C2C"/>
    <w:rsid w:val="00D471E9"/>
    <w:rsid w:val="00D4768C"/>
    <w:rsid w:val="00D56871"/>
    <w:rsid w:val="00D56B49"/>
    <w:rsid w:val="00D6005F"/>
    <w:rsid w:val="00D60062"/>
    <w:rsid w:val="00D61EFD"/>
    <w:rsid w:val="00D630FA"/>
    <w:rsid w:val="00D6360E"/>
    <w:rsid w:val="00D6450A"/>
    <w:rsid w:val="00D649C6"/>
    <w:rsid w:val="00D655A3"/>
    <w:rsid w:val="00D66434"/>
    <w:rsid w:val="00D669D8"/>
    <w:rsid w:val="00D671CA"/>
    <w:rsid w:val="00D701E3"/>
    <w:rsid w:val="00D710D2"/>
    <w:rsid w:val="00D75339"/>
    <w:rsid w:val="00D7589E"/>
    <w:rsid w:val="00D77642"/>
    <w:rsid w:val="00D80FA8"/>
    <w:rsid w:val="00D826EE"/>
    <w:rsid w:val="00D85BE3"/>
    <w:rsid w:val="00D87E0B"/>
    <w:rsid w:val="00D95CC0"/>
    <w:rsid w:val="00D962FD"/>
    <w:rsid w:val="00D964A2"/>
    <w:rsid w:val="00DA054A"/>
    <w:rsid w:val="00DA109D"/>
    <w:rsid w:val="00DA52C3"/>
    <w:rsid w:val="00DA5860"/>
    <w:rsid w:val="00DB10D0"/>
    <w:rsid w:val="00DB313C"/>
    <w:rsid w:val="00DB638E"/>
    <w:rsid w:val="00DC0CBE"/>
    <w:rsid w:val="00DC4630"/>
    <w:rsid w:val="00DC5345"/>
    <w:rsid w:val="00DD2499"/>
    <w:rsid w:val="00DD2EF2"/>
    <w:rsid w:val="00DD3CC6"/>
    <w:rsid w:val="00DD4E4A"/>
    <w:rsid w:val="00DD543A"/>
    <w:rsid w:val="00DD5F5C"/>
    <w:rsid w:val="00DD611B"/>
    <w:rsid w:val="00DD61CA"/>
    <w:rsid w:val="00DE12A0"/>
    <w:rsid w:val="00DE2623"/>
    <w:rsid w:val="00DE3C9F"/>
    <w:rsid w:val="00DE55B4"/>
    <w:rsid w:val="00DE55E7"/>
    <w:rsid w:val="00DF1645"/>
    <w:rsid w:val="00DF4285"/>
    <w:rsid w:val="00DF7C6E"/>
    <w:rsid w:val="00E01363"/>
    <w:rsid w:val="00E06153"/>
    <w:rsid w:val="00E10375"/>
    <w:rsid w:val="00E11EE4"/>
    <w:rsid w:val="00E156BF"/>
    <w:rsid w:val="00E15BEC"/>
    <w:rsid w:val="00E16566"/>
    <w:rsid w:val="00E17A93"/>
    <w:rsid w:val="00E17BA4"/>
    <w:rsid w:val="00E2101A"/>
    <w:rsid w:val="00E21948"/>
    <w:rsid w:val="00E231C1"/>
    <w:rsid w:val="00E2594C"/>
    <w:rsid w:val="00E26371"/>
    <w:rsid w:val="00E26E05"/>
    <w:rsid w:val="00E270AE"/>
    <w:rsid w:val="00E31846"/>
    <w:rsid w:val="00E34362"/>
    <w:rsid w:val="00E37256"/>
    <w:rsid w:val="00E425DA"/>
    <w:rsid w:val="00E46585"/>
    <w:rsid w:val="00E46A32"/>
    <w:rsid w:val="00E46B35"/>
    <w:rsid w:val="00E5061B"/>
    <w:rsid w:val="00E5080B"/>
    <w:rsid w:val="00E60891"/>
    <w:rsid w:val="00E60B52"/>
    <w:rsid w:val="00E62002"/>
    <w:rsid w:val="00E65B57"/>
    <w:rsid w:val="00E65FBA"/>
    <w:rsid w:val="00E66630"/>
    <w:rsid w:val="00E7339D"/>
    <w:rsid w:val="00E73AB7"/>
    <w:rsid w:val="00E75525"/>
    <w:rsid w:val="00E766A2"/>
    <w:rsid w:val="00E80134"/>
    <w:rsid w:val="00E861D8"/>
    <w:rsid w:val="00E86AF5"/>
    <w:rsid w:val="00E90D67"/>
    <w:rsid w:val="00E90F12"/>
    <w:rsid w:val="00E91029"/>
    <w:rsid w:val="00E91C76"/>
    <w:rsid w:val="00E92865"/>
    <w:rsid w:val="00E92E2B"/>
    <w:rsid w:val="00E9388A"/>
    <w:rsid w:val="00E959EF"/>
    <w:rsid w:val="00E96C15"/>
    <w:rsid w:val="00E9760B"/>
    <w:rsid w:val="00EA39CE"/>
    <w:rsid w:val="00EB10A8"/>
    <w:rsid w:val="00EB3192"/>
    <w:rsid w:val="00EB3BF9"/>
    <w:rsid w:val="00EB52E4"/>
    <w:rsid w:val="00EB6A26"/>
    <w:rsid w:val="00EB764D"/>
    <w:rsid w:val="00EC45CE"/>
    <w:rsid w:val="00EC5C73"/>
    <w:rsid w:val="00EC62D9"/>
    <w:rsid w:val="00EC67B0"/>
    <w:rsid w:val="00ED077A"/>
    <w:rsid w:val="00ED0CA8"/>
    <w:rsid w:val="00ED1BE4"/>
    <w:rsid w:val="00ED1FCC"/>
    <w:rsid w:val="00ED2AA1"/>
    <w:rsid w:val="00ED423C"/>
    <w:rsid w:val="00ED456A"/>
    <w:rsid w:val="00ED4DDE"/>
    <w:rsid w:val="00ED550F"/>
    <w:rsid w:val="00ED5C35"/>
    <w:rsid w:val="00ED5E60"/>
    <w:rsid w:val="00ED717E"/>
    <w:rsid w:val="00EE50F2"/>
    <w:rsid w:val="00EF1451"/>
    <w:rsid w:val="00EF1E13"/>
    <w:rsid w:val="00EF24A3"/>
    <w:rsid w:val="00EF3945"/>
    <w:rsid w:val="00EF5A56"/>
    <w:rsid w:val="00EF607F"/>
    <w:rsid w:val="00EF648C"/>
    <w:rsid w:val="00F011D6"/>
    <w:rsid w:val="00F02BCC"/>
    <w:rsid w:val="00F037DC"/>
    <w:rsid w:val="00F04D19"/>
    <w:rsid w:val="00F05D86"/>
    <w:rsid w:val="00F07238"/>
    <w:rsid w:val="00F10880"/>
    <w:rsid w:val="00F11937"/>
    <w:rsid w:val="00F129FC"/>
    <w:rsid w:val="00F13290"/>
    <w:rsid w:val="00F13323"/>
    <w:rsid w:val="00F1405F"/>
    <w:rsid w:val="00F1494F"/>
    <w:rsid w:val="00F164B5"/>
    <w:rsid w:val="00F22832"/>
    <w:rsid w:val="00F249BC"/>
    <w:rsid w:val="00F25F82"/>
    <w:rsid w:val="00F2799D"/>
    <w:rsid w:val="00F3003C"/>
    <w:rsid w:val="00F31C11"/>
    <w:rsid w:val="00F324ED"/>
    <w:rsid w:val="00F33A48"/>
    <w:rsid w:val="00F35DC0"/>
    <w:rsid w:val="00F434CF"/>
    <w:rsid w:val="00F53CEA"/>
    <w:rsid w:val="00F56756"/>
    <w:rsid w:val="00F57E1E"/>
    <w:rsid w:val="00F603CA"/>
    <w:rsid w:val="00F63255"/>
    <w:rsid w:val="00F73D9F"/>
    <w:rsid w:val="00F75546"/>
    <w:rsid w:val="00F828FD"/>
    <w:rsid w:val="00F83D84"/>
    <w:rsid w:val="00F8639E"/>
    <w:rsid w:val="00F92750"/>
    <w:rsid w:val="00F935CC"/>
    <w:rsid w:val="00F93D5B"/>
    <w:rsid w:val="00F9449E"/>
    <w:rsid w:val="00F9598F"/>
    <w:rsid w:val="00F95FFF"/>
    <w:rsid w:val="00F9710D"/>
    <w:rsid w:val="00F97C0C"/>
    <w:rsid w:val="00FA04C1"/>
    <w:rsid w:val="00FA1938"/>
    <w:rsid w:val="00FA3366"/>
    <w:rsid w:val="00FA6655"/>
    <w:rsid w:val="00FB1263"/>
    <w:rsid w:val="00FB3A59"/>
    <w:rsid w:val="00FC15C1"/>
    <w:rsid w:val="00FC3397"/>
    <w:rsid w:val="00FC4BFA"/>
    <w:rsid w:val="00FC556D"/>
    <w:rsid w:val="00FC5617"/>
    <w:rsid w:val="00FC607D"/>
    <w:rsid w:val="00FC779B"/>
    <w:rsid w:val="00FD09E4"/>
    <w:rsid w:val="00FD1517"/>
    <w:rsid w:val="00FD514F"/>
    <w:rsid w:val="00FD5172"/>
    <w:rsid w:val="00FD5856"/>
    <w:rsid w:val="00FD5AE4"/>
    <w:rsid w:val="00FD7B4B"/>
    <w:rsid w:val="00FE20D8"/>
    <w:rsid w:val="00FE2CD9"/>
    <w:rsid w:val="00FE3329"/>
    <w:rsid w:val="00FE3B20"/>
    <w:rsid w:val="00FE430F"/>
    <w:rsid w:val="00FE4CBB"/>
    <w:rsid w:val="00FE4E98"/>
    <w:rsid w:val="00FE707F"/>
    <w:rsid w:val="00FE7797"/>
    <w:rsid w:val="00FF21AE"/>
    <w:rsid w:val="00FF3B0F"/>
    <w:rsid w:val="00FF3CBD"/>
    <w:rsid w:val="00FF61F2"/>
    <w:rsid w:val="00FF6B7B"/>
    <w:rsid w:val="00FF6BF0"/>
    <w:rsid w:val="01395B76"/>
    <w:rsid w:val="01447363"/>
    <w:rsid w:val="048D21EC"/>
    <w:rsid w:val="07FD3EFA"/>
    <w:rsid w:val="081667B7"/>
    <w:rsid w:val="09D13CB6"/>
    <w:rsid w:val="0C63211D"/>
    <w:rsid w:val="0E1702C1"/>
    <w:rsid w:val="0F155BD0"/>
    <w:rsid w:val="0F3154F4"/>
    <w:rsid w:val="11735413"/>
    <w:rsid w:val="118115DD"/>
    <w:rsid w:val="15332BCD"/>
    <w:rsid w:val="1610520C"/>
    <w:rsid w:val="1A6239AD"/>
    <w:rsid w:val="1B8516A0"/>
    <w:rsid w:val="1BB44036"/>
    <w:rsid w:val="1C4C5B94"/>
    <w:rsid w:val="1D972448"/>
    <w:rsid w:val="1E8D5C61"/>
    <w:rsid w:val="1F37743B"/>
    <w:rsid w:val="1FBA29FC"/>
    <w:rsid w:val="1FCE4136"/>
    <w:rsid w:val="201C2642"/>
    <w:rsid w:val="21891C66"/>
    <w:rsid w:val="22906ACF"/>
    <w:rsid w:val="23224482"/>
    <w:rsid w:val="23473321"/>
    <w:rsid w:val="23C75514"/>
    <w:rsid w:val="25586A6C"/>
    <w:rsid w:val="255E227C"/>
    <w:rsid w:val="25B95C46"/>
    <w:rsid w:val="27D13BFF"/>
    <w:rsid w:val="29EA6F51"/>
    <w:rsid w:val="2B393DE3"/>
    <w:rsid w:val="2E04619D"/>
    <w:rsid w:val="2F5B4C35"/>
    <w:rsid w:val="2F7E2447"/>
    <w:rsid w:val="2FA22A33"/>
    <w:rsid w:val="2FA56A4D"/>
    <w:rsid w:val="306E37B6"/>
    <w:rsid w:val="31523014"/>
    <w:rsid w:val="32335629"/>
    <w:rsid w:val="33ED41AA"/>
    <w:rsid w:val="34284A5F"/>
    <w:rsid w:val="34366C60"/>
    <w:rsid w:val="343B12C1"/>
    <w:rsid w:val="3A076FE2"/>
    <w:rsid w:val="3B066172"/>
    <w:rsid w:val="3B256099"/>
    <w:rsid w:val="3CAD634D"/>
    <w:rsid w:val="3CB7753E"/>
    <w:rsid w:val="3D62421D"/>
    <w:rsid w:val="3DFB7759"/>
    <w:rsid w:val="3E7F77CE"/>
    <w:rsid w:val="3F124AA5"/>
    <w:rsid w:val="3F893314"/>
    <w:rsid w:val="3FB63E03"/>
    <w:rsid w:val="410E6655"/>
    <w:rsid w:val="415158F2"/>
    <w:rsid w:val="43047BA5"/>
    <w:rsid w:val="45040E9B"/>
    <w:rsid w:val="463D68E9"/>
    <w:rsid w:val="468D45C6"/>
    <w:rsid w:val="47C02322"/>
    <w:rsid w:val="47C40CEE"/>
    <w:rsid w:val="47FF142B"/>
    <w:rsid w:val="48EA2EF8"/>
    <w:rsid w:val="498F3C24"/>
    <w:rsid w:val="4B590C54"/>
    <w:rsid w:val="4BC92EA0"/>
    <w:rsid w:val="4C18416F"/>
    <w:rsid w:val="4D3F3CF4"/>
    <w:rsid w:val="4E1149A0"/>
    <w:rsid w:val="4E173DE0"/>
    <w:rsid w:val="4EEE72C6"/>
    <w:rsid w:val="50B858D6"/>
    <w:rsid w:val="50C21DBB"/>
    <w:rsid w:val="50FE4BD8"/>
    <w:rsid w:val="51272B34"/>
    <w:rsid w:val="52FF703F"/>
    <w:rsid w:val="53521CAB"/>
    <w:rsid w:val="543B1B41"/>
    <w:rsid w:val="5473455B"/>
    <w:rsid w:val="564F00F5"/>
    <w:rsid w:val="579A342B"/>
    <w:rsid w:val="5A5340A8"/>
    <w:rsid w:val="5BF37B0B"/>
    <w:rsid w:val="5D3534ED"/>
    <w:rsid w:val="5D5D7E6E"/>
    <w:rsid w:val="5E943987"/>
    <w:rsid w:val="5EAB7A2A"/>
    <w:rsid w:val="60CE33BD"/>
    <w:rsid w:val="630D1C3E"/>
    <w:rsid w:val="63AA050E"/>
    <w:rsid w:val="647B3026"/>
    <w:rsid w:val="64F30FD7"/>
    <w:rsid w:val="67EC569B"/>
    <w:rsid w:val="6982286B"/>
    <w:rsid w:val="699E6B9C"/>
    <w:rsid w:val="69B246B2"/>
    <w:rsid w:val="69C01AE4"/>
    <w:rsid w:val="6C7A78ED"/>
    <w:rsid w:val="6D250F2B"/>
    <w:rsid w:val="6E994EE1"/>
    <w:rsid w:val="700D12DA"/>
    <w:rsid w:val="702B0765"/>
    <w:rsid w:val="70632E90"/>
    <w:rsid w:val="70F50186"/>
    <w:rsid w:val="736D663A"/>
    <w:rsid w:val="74484D3B"/>
    <w:rsid w:val="75315F24"/>
    <w:rsid w:val="758C6C69"/>
    <w:rsid w:val="75C74621"/>
    <w:rsid w:val="771874E1"/>
    <w:rsid w:val="773F25B4"/>
    <w:rsid w:val="780C038B"/>
    <w:rsid w:val="79473803"/>
    <w:rsid w:val="79A436FA"/>
    <w:rsid w:val="7A4D6617"/>
    <w:rsid w:val="7A88086E"/>
    <w:rsid w:val="7AC50424"/>
    <w:rsid w:val="7C2C522A"/>
    <w:rsid w:val="7DCF6A49"/>
    <w:rsid w:val="7F3533F6"/>
    <w:rsid w:val="7F3601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44"/>
    <w:qFormat/>
    <w:uiPriority w:val="0"/>
    <w:pPr>
      <w:keepNext/>
      <w:keepLines/>
      <w:spacing w:before="260" w:after="260" w:line="416" w:lineRule="auto"/>
      <w:outlineLvl w:val="2"/>
    </w:pPr>
    <w:rPr>
      <w:b/>
      <w:bCs/>
      <w:sz w:val="32"/>
      <w:szCs w:val="32"/>
    </w:rPr>
  </w:style>
  <w:style w:type="paragraph" w:styleId="5">
    <w:name w:val="heading 4"/>
    <w:basedOn w:val="1"/>
    <w:next w:val="1"/>
    <w:link w:val="42"/>
    <w:qFormat/>
    <w:uiPriority w:val="0"/>
    <w:pPr>
      <w:keepNext/>
      <w:keepLines/>
      <w:spacing w:before="280" w:after="290" w:line="376" w:lineRule="auto"/>
      <w:outlineLvl w:val="3"/>
    </w:pPr>
    <w:rPr>
      <w:rFonts w:ascii="Cambria" w:hAnsi="Cambria"/>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6">
    <w:name w:val="toc 7"/>
    <w:basedOn w:val="1"/>
    <w:next w:val="1"/>
    <w:qFormat/>
    <w:uiPriority w:val="39"/>
    <w:pPr>
      <w:ind w:left="1260"/>
      <w:jc w:val="left"/>
    </w:pPr>
    <w:rPr>
      <w:sz w:val="18"/>
      <w:szCs w:val="18"/>
    </w:rPr>
  </w:style>
  <w:style w:type="paragraph" w:styleId="7">
    <w:name w:val="annotation text"/>
    <w:qFormat/>
    <w:uiPriority w:val="0"/>
    <w:rPr>
      <w:rFonts w:ascii="Times New Roman" w:hAnsi="Times New Roman" w:eastAsia="宋体" w:cs="Times New Roman"/>
      <w:lang w:val="en-US" w:eastAsia="zh-CN" w:bidi="ar-SA"/>
    </w:rPr>
  </w:style>
  <w:style w:type="paragraph" w:styleId="8">
    <w:name w:val="toc 5"/>
    <w:basedOn w:val="1"/>
    <w:next w:val="1"/>
    <w:qFormat/>
    <w:uiPriority w:val="39"/>
    <w:pPr>
      <w:ind w:left="840"/>
      <w:jc w:val="left"/>
    </w:pPr>
    <w:rPr>
      <w:sz w:val="18"/>
      <w:szCs w:val="18"/>
    </w:rPr>
  </w:style>
  <w:style w:type="paragraph" w:styleId="9">
    <w:name w:val="toc 3"/>
    <w:basedOn w:val="1"/>
    <w:next w:val="1"/>
    <w:qFormat/>
    <w:uiPriority w:val="39"/>
    <w:pPr>
      <w:tabs>
        <w:tab w:val="right" w:leader="dot" w:pos="8296"/>
      </w:tabs>
      <w:ind w:left="283" w:leftChars="135"/>
      <w:jc w:val="left"/>
    </w:pPr>
    <w:rPr>
      <w:rFonts w:ascii="Cambria" w:hAnsi="Cambria"/>
      <w:iCs/>
      <w:sz w:val="20"/>
      <w:szCs w:val="20"/>
    </w:rPr>
  </w:style>
  <w:style w:type="paragraph" w:styleId="10">
    <w:name w:val="toc 8"/>
    <w:basedOn w:val="1"/>
    <w:next w:val="1"/>
    <w:qFormat/>
    <w:uiPriority w:val="39"/>
    <w:pPr>
      <w:ind w:left="1470"/>
      <w:jc w:val="left"/>
    </w:pPr>
    <w:rPr>
      <w:sz w:val="18"/>
      <w:szCs w:val="18"/>
    </w:rPr>
  </w:style>
  <w:style w:type="paragraph" w:styleId="11">
    <w:name w:val="Date"/>
    <w:basedOn w:val="1"/>
    <w:next w:val="1"/>
    <w:qFormat/>
    <w:uiPriority w:val="0"/>
    <w:pPr>
      <w:ind w:left="100" w:leftChars="2500"/>
    </w:pPr>
  </w:style>
  <w:style w:type="paragraph" w:styleId="12">
    <w:name w:val="Balloon Text"/>
    <w:basedOn w:val="1"/>
    <w:link w:val="50"/>
    <w:qFormat/>
    <w:uiPriority w:val="0"/>
    <w:rPr>
      <w:sz w:val="18"/>
      <w:szCs w:val="18"/>
    </w:rPr>
  </w:style>
  <w:style w:type="paragraph" w:styleId="13">
    <w:name w:val="footer"/>
    <w:basedOn w:val="1"/>
    <w:link w:val="6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296"/>
      </w:tabs>
      <w:spacing w:before="120" w:after="120"/>
      <w:ind w:right="210" w:rightChars="100"/>
      <w:jc w:val="center"/>
    </w:pPr>
    <w:rPr>
      <w:rFonts w:ascii="黑体" w:hAnsi="黑体" w:eastAsia="黑体"/>
      <w:sz w:val="20"/>
      <w:szCs w:val="20"/>
    </w:rPr>
  </w:style>
  <w:style w:type="paragraph" w:styleId="16">
    <w:name w:val="toc 4"/>
    <w:basedOn w:val="1"/>
    <w:next w:val="1"/>
    <w:qFormat/>
    <w:uiPriority w:val="39"/>
    <w:pPr>
      <w:ind w:left="630"/>
      <w:jc w:val="left"/>
    </w:pPr>
    <w:rPr>
      <w:sz w:val="18"/>
      <w:szCs w:val="18"/>
    </w:rPr>
  </w:style>
  <w:style w:type="paragraph" w:styleId="17">
    <w:name w:val="toc 6"/>
    <w:basedOn w:val="1"/>
    <w:next w:val="1"/>
    <w:qFormat/>
    <w:uiPriority w:val="39"/>
    <w:pPr>
      <w:ind w:left="1050"/>
      <w:jc w:val="left"/>
    </w:pPr>
    <w:rPr>
      <w:sz w:val="18"/>
      <w:szCs w:val="18"/>
    </w:rPr>
  </w:style>
  <w:style w:type="paragraph" w:styleId="18">
    <w:name w:val="toc 2"/>
    <w:basedOn w:val="1"/>
    <w:next w:val="1"/>
    <w:qFormat/>
    <w:uiPriority w:val="39"/>
    <w:pPr>
      <w:tabs>
        <w:tab w:val="right" w:leader="dot" w:pos="8296"/>
      </w:tabs>
      <w:jc w:val="left"/>
    </w:pPr>
    <w:rPr>
      <w:rFonts w:ascii="黑体" w:hAnsi="黑体" w:eastAsia="黑体"/>
      <w:smallCaps/>
      <w:sz w:val="20"/>
      <w:szCs w:val="20"/>
    </w:rPr>
  </w:style>
  <w:style w:type="paragraph" w:styleId="19">
    <w:name w:val="toc 9"/>
    <w:basedOn w:val="1"/>
    <w:next w:val="1"/>
    <w:qFormat/>
    <w:uiPriority w:val="39"/>
    <w:pPr>
      <w:ind w:left="1680"/>
      <w:jc w:val="left"/>
    </w:pPr>
    <w:rPr>
      <w:sz w:val="18"/>
      <w:szCs w:val="18"/>
    </w:rPr>
  </w:style>
  <w:style w:type="paragraph" w:styleId="20">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page number"/>
    <w:basedOn w:val="23"/>
    <w:qFormat/>
    <w:uiPriority w:val="0"/>
  </w:style>
  <w:style w:type="character" w:styleId="26">
    <w:name w:val="FollowedHyperlink"/>
    <w:basedOn w:val="23"/>
    <w:qFormat/>
    <w:uiPriority w:val="0"/>
    <w:rPr>
      <w:color w:val="444444"/>
      <w:sz w:val="18"/>
      <w:szCs w:val="18"/>
      <w:u w:val="none"/>
    </w:rPr>
  </w:style>
  <w:style w:type="character" w:styleId="27">
    <w:name w:val="Emphasis"/>
    <w:basedOn w:val="23"/>
    <w:qFormat/>
    <w:uiPriority w:val="0"/>
    <w:rPr>
      <w:i/>
      <w:iCs/>
    </w:rPr>
  </w:style>
  <w:style w:type="character" w:styleId="28">
    <w:name w:val="Hyperlink"/>
    <w:basedOn w:val="23"/>
    <w:qFormat/>
    <w:uiPriority w:val="99"/>
    <w:rPr>
      <w:color w:val="000000"/>
      <w:u w:val="none"/>
    </w:rPr>
  </w:style>
  <w:style w:type="character" w:styleId="29">
    <w:name w:val="HTML Cite"/>
    <w:basedOn w:val="23"/>
    <w:qFormat/>
    <w:uiPriority w:val="0"/>
  </w:style>
  <w:style w:type="paragraph" w:customStyle="1" w:styleId="30">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newstyle16"/>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_Style 30"/>
    <w:basedOn w:val="1"/>
    <w:next w:val="1"/>
    <w:link w:val="60"/>
    <w:qFormat/>
    <w:uiPriority w:val="99"/>
    <w:pPr>
      <w:widowControl/>
      <w:pBdr>
        <w:bottom w:val="single" w:color="auto" w:sz="6" w:space="1"/>
      </w:pBdr>
      <w:jc w:val="center"/>
    </w:pPr>
    <w:rPr>
      <w:rFonts w:ascii="Arial" w:hAnsi="Arial" w:cs="Arial"/>
      <w:vanish/>
      <w:color w:val="000000"/>
      <w:kern w:val="0"/>
      <w:sz w:val="16"/>
      <w:szCs w:val="16"/>
    </w:rPr>
  </w:style>
  <w:style w:type="paragraph" w:customStyle="1" w:styleId="3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_Style 32"/>
    <w:basedOn w:val="1"/>
    <w:next w:val="1"/>
    <w:link w:val="49"/>
    <w:qFormat/>
    <w:uiPriority w:val="99"/>
    <w:pPr>
      <w:widowControl/>
      <w:pBdr>
        <w:top w:val="single" w:color="auto" w:sz="6" w:space="1"/>
      </w:pBdr>
      <w:jc w:val="center"/>
    </w:pPr>
    <w:rPr>
      <w:rFonts w:ascii="Arial" w:hAnsi="Arial" w:cs="Arial"/>
      <w:vanish/>
      <w:color w:val="000000"/>
      <w:kern w:val="0"/>
      <w:sz w:val="16"/>
      <w:szCs w:val="16"/>
    </w:rPr>
  </w:style>
  <w:style w:type="paragraph" w:customStyle="1" w:styleId="35">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p15"/>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默认段落字体 Para Char"/>
    <w:basedOn w:val="1"/>
    <w:qFormat/>
    <w:uiPriority w:val="0"/>
    <w:pPr>
      <w:tabs>
        <w:tab w:val="left" w:pos="360"/>
      </w:tabs>
      <w:spacing w:before="312" w:after="312" w:line="360" w:lineRule="auto"/>
    </w:pPr>
    <w:rPr>
      <w:szCs w:val="20"/>
    </w:rPr>
  </w:style>
  <w:style w:type="paragraph" w:customStyle="1" w:styleId="38">
    <w:name w:val="custom_unionsty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4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1">
    <w:name w:val="_Style 39"/>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42">
    <w:name w:val="标题 4 Char"/>
    <w:basedOn w:val="23"/>
    <w:link w:val="5"/>
    <w:qFormat/>
    <w:uiPriority w:val="0"/>
    <w:rPr>
      <w:rFonts w:ascii="Cambria" w:hAnsi="Cambria" w:eastAsia="宋体" w:cs="Times New Roman"/>
      <w:b/>
      <w:bCs/>
      <w:kern w:val="2"/>
      <w:sz w:val="28"/>
      <w:szCs w:val="28"/>
    </w:rPr>
  </w:style>
  <w:style w:type="character" w:customStyle="1" w:styleId="43">
    <w:name w:val="grame"/>
    <w:basedOn w:val="23"/>
    <w:qFormat/>
    <w:uiPriority w:val="0"/>
  </w:style>
  <w:style w:type="character" w:customStyle="1" w:styleId="44">
    <w:name w:val="标题 3 Char"/>
    <w:basedOn w:val="23"/>
    <w:link w:val="4"/>
    <w:semiHidden/>
    <w:qFormat/>
    <w:uiPriority w:val="0"/>
    <w:rPr>
      <w:b/>
      <w:bCs/>
      <w:kern w:val="2"/>
      <w:sz w:val="32"/>
      <w:szCs w:val="32"/>
    </w:rPr>
  </w:style>
  <w:style w:type="character" w:customStyle="1" w:styleId="45">
    <w:name w:val="smaller"/>
    <w:basedOn w:val="23"/>
    <w:qFormat/>
    <w:uiPriority w:val="0"/>
  </w:style>
  <w:style w:type="character" w:customStyle="1" w:styleId="46">
    <w:name w:val="标题 1 Char"/>
    <w:basedOn w:val="23"/>
    <w:link w:val="2"/>
    <w:qFormat/>
    <w:uiPriority w:val="0"/>
    <w:rPr>
      <w:b/>
      <w:bCs/>
      <w:kern w:val="44"/>
      <w:sz w:val="44"/>
      <w:szCs w:val="44"/>
    </w:rPr>
  </w:style>
  <w:style w:type="character" w:customStyle="1" w:styleId="47">
    <w:name w:val="gray1"/>
    <w:basedOn w:val="23"/>
    <w:qFormat/>
    <w:uiPriority w:val="0"/>
    <w:rPr>
      <w:color w:val="868686"/>
    </w:rPr>
  </w:style>
  <w:style w:type="character" w:customStyle="1" w:styleId="48">
    <w:name w:val="medium"/>
    <w:basedOn w:val="23"/>
    <w:qFormat/>
    <w:uiPriority w:val="0"/>
  </w:style>
  <w:style w:type="character" w:customStyle="1" w:styleId="49">
    <w:name w:val="z-窗体底端 Char"/>
    <w:basedOn w:val="23"/>
    <w:link w:val="34"/>
    <w:qFormat/>
    <w:uiPriority w:val="99"/>
    <w:rPr>
      <w:rFonts w:ascii="Arial" w:hAnsi="Arial" w:cs="Arial"/>
      <w:vanish/>
      <w:color w:val="000000"/>
      <w:sz w:val="16"/>
      <w:szCs w:val="16"/>
    </w:rPr>
  </w:style>
  <w:style w:type="character" w:customStyle="1" w:styleId="50">
    <w:name w:val="批注框文本 Char"/>
    <w:basedOn w:val="23"/>
    <w:link w:val="12"/>
    <w:qFormat/>
    <w:uiPriority w:val="0"/>
    <w:rPr>
      <w:kern w:val="2"/>
      <w:sz w:val="18"/>
      <w:szCs w:val="18"/>
    </w:rPr>
  </w:style>
  <w:style w:type="character" w:customStyle="1" w:styleId="51">
    <w:name w:val="标题 2 Char"/>
    <w:basedOn w:val="23"/>
    <w:link w:val="3"/>
    <w:qFormat/>
    <w:uiPriority w:val="0"/>
    <w:rPr>
      <w:rFonts w:ascii="Cambria" w:hAnsi="Cambria" w:eastAsia="宋体" w:cs="Times New Roman"/>
      <w:b/>
      <w:bCs/>
      <w:kern w:val="2"/>
      <w:sz w:val="32"/>
      <w:szCs w:val="32"/>
    </w:rPr>
  </w:style>
  <w:style w:type="character" w:customStyle="1" w:styleId="52">
    <w:name w:val="bq2"/>
    <w:basedOn w:val="23"/>
    <w:qFormat/>
    <w:uiPriority w:val="0"/>
    <w:rPr>
      <w:sz w:val="21"/>
      <w:szCs w:val="21"/>
      <w:u w:val="none"/>
    </w:rPr>
  </w:style>
  <w:style w:type="character" w:customStyle="1" w:styleId="53">
    <w:name w:val="apple-converted-space"/>
    <w:basedOn w:val="23"/>
    <w:qFormat/>
    <w:uiPriority w:val="0"/>
  </w:style>
  <w:style w:type="character" w:customStyle="1" w:styleId="54">
    <w:name w:val="font"/>
    <w:basedOn w:val="23"/>
    <w:qFormat/>
    <w:uiPriority w:val="0"/>
  </w:style>
  <w:style w:type="character" w:customStyle="1" w:styleId="55">
    <w:name w:val="word_desc1"/>
    <w:basedOn w:val="23"/>
    <w:qFormat/>
    <w:uiPriority w:val="0"/>
    <w:rPr>
      <w:color w:val="666666"/>
    </w:rPr>
  </w:style>
  <w:style w:type="character" w:customStyle="1" w:styleId="56">
    <w:name w:val="f14"/>
    <w:basedOn w:val="23"/>
    <w:qFormat/>
    <w:uiPriority w:val="0"/>
  </w:style>
  <w:style w:type="character" w:customStyle="1" w:styleId="57">
    <w:name w:val="gwdtitle"/>
    <w:basedOn w:val="23"/>
    <w:qFormat/>
    <w:uiPriority w:val="0"/>
  </w:style>
  <w:style w:type="character" w:customStyle="1" w:styleId="58">
    <w:name w:val="en_title"/>
    <w:basedOn w:val="23"/>
    <w:qFormat/>
    <w:uiPriority w:val="0"/>
  </w:style>
  <w:style w:type="character" w:customStyle="1" w:styleId="59">
    <w:name w:val="title1"/>
    <w:basedOn w:val="23"/>
    <w:qFormat/>
    <w:uiPriority w:val="0"/>
    <w:rPr>
      <w:rFonts w:hint="eastAsia" w:ascii="黑体" w:hAnsi="黑体" w:eastAsia="黑体"/>
      <w:color w:val="000000"/>
      <w:sz w:val="14"/>
      <w:szCs w:val="14"/>
    </w:rPr>
  </w:style>
  <w:style w:type="character" w:customStyle="1" w:styleId="60">
    <w:name w:val="z-窗体顶端 Char"/>
    <w:basedOn w:val="23"/>
    <w:link w:val="32"/>
    <w:qFormat/>
    <w:uiPriority w:val="99"/>
    <w:rPr>
      <w:rFonts w:ascii="Arial" w:hAnsi="Arial" w:cs="Arial"/>
      <w:vanish/>
      <w:color w:val="000000"/>
      <w:sz w:val="16"/>
      <w:szCs w:val="16"/>
    </w:rPr>
  </w:style>
  <w:style w:type="character" w:customStyle="1" w:styleId="61">
    <w:name w:val="页脚 Char"/>
    <w:basedOn w:val="23"/>
    <w:link w:val="13"/>
    <w:qFormat/>
    <w:uiPriority w:val="0"/>
    <w:rPr>
      <w:kern w:val="2"/>
      <w:sz w:val="18"/>
      <w:szCs w:val="18"/>
    </w:rPr>
  </w:style>
  <w:style w:type="character" w:customStyle="1" w:styleId="62">
    <w:name w:val="policymark1"/>
    <w:basedOn w:val="23"/>
    <w:qFormat/>
    <w:uiPriority w:val="0"/>
    <w:rPr>
      <w:color w:val="333333"/>
      <w:sz w:val="14"/>
      <w:szCs w:val="14"/>
    </w:rPr>
  </w:style>
  <w:style w:type="character" w:customStyle="1" w:styleId="63">
    <w:name w:val="bigger"/>
    <w:basedOn w:val="23"/>
    <w:qFormat/>
    <w:uiPriority w:val="0"/>
  </w:style>
  <w:style w:type="character" w:customStyle="1" w:styleId="64">
    <w:name w:val="bq11"/>
    <w:basedOn w:val="23"/>
    <w:qFormat/>
    <w:uiPriority w:val="0"/>
    <w:rPr>
      <w:b/>
      <w:bCs/>
      <w:sz w:val="21"/>
      <w:szCs w:val="21"/>
      <w:u w:val="none"/>
    </w:rPr>
  </w:style>
  <w:style w:type="character" w:customStyle="1" w:styleId="65">
    <w:name w:val="gwds_more"/>
    <w:basedOn w:val="23"/>
    <w:qFormat/>
    <w:uiPriority w:val="0"/>
  </w:style>
  <w:style w:type="paragraph" w:customStyle="1" w:styleId="66">
    <w:name w:val="hr_1"/>
    <w:basedOn w:val="1"/>
    <w:qFormat/>
    <w:uiPriority w:val="0"/>
    <w:pPr>
      <w:jc w:val="center"/>
    </w:pPr>
    <w:rPr>
      <w:color w:val="99C2E2"/>
      <w:kern w:val="0"/>
    </w:rPr>
  </w:style>
  <w:style w:type="character" w:customStyle="1" w:styleId="67">
    <w:name w:val="bg02"/>
    <w:basedOn w:val="23"/>
    <w:qFormat/>
    <w:uiPriority w:val="0"/>
  </w:style>
  <w:style w:type="character" w:customStyle="1" w:styleId="68">
    <w:name w:val="tabg"/>
    <w:basedOn w:val="23"/>
    <w:qFormat/>
    <w:uiPriority w:val="0"/>
    <w:rPr>
      <w:rFonts w:ascii="微软雅黑" w:hAnsi="微软雅黑" w:eastAsia="微软雅黑" w:cs="微软雅黑"/>
      <w:color w:val="FFFFFF"/>
      <w:sz w:val="27"/>
      <w:szCs w:val="27"/>
    </w:rPr>
  </w:style>
  <w:style w:type="character" w:customStyle="1" w:styleId="69">
    <w:name w:val="more"/>
    <w:basedOn w:val="23"/>
    <w:qFormat/>
    <w:uiPriority w:val="0"/>
    <w:rPr>
      <w:color w:val="666666"/>
      <w:sz w:val="18"/>
      <w:szCs w:val="18"/>
    </w:rPr>
  </w:style>
  <w:style w:type="character" w:customStyle="1" w:styleId="70">
    <w:name w:val="bg01"/>
    <w:basedOn w:val="23"/>
    <w:qFormat/>
    <w:uiPriority w:val="0"/>
  </w:style>
  <w:style w:type="character" w:customStyle="1" w:styleId="71">
    <w:name w:val="bsharetext"/>
    <w:basedOn w:val="23"/>
    <w:qFormat/>
    <w:uiPriority w:val="0"/>
  </w:style>
  <w:style w:type="character" w:customStyle="1" w:styleId="72">
    <w:name w:val="msoins"/>
    <w:basedOn w:val="23"/>
    <w:qFormat/>
    <w:uiPriority w:val="0"/>
    <w:rPr>
      <w:color w:val="0000FF"/>
      <w:u w:val="single"/>
    </w:rPr>
  </w:style>
  <w:style w:type="character" w:customStyle="1" w:styleId="73">
    <w:name w:val="msodel"/>
    <w:basedOn w:val="23"/>
    <w:qFormat/>
    <w:uiPriority w:val="0"/>
    <w:rPr>
      <w:strike/>
      <w:color w:val="FF0000"/>
    </w:rPr>
  </w:style>
  <w:style w:type="character" w:customStyle="1" w:styleId="74">
    <w:name w:val="10"/>
    <w:basedOn w:val="23"/>
    <w:qFormat/>
    <w:uiPriority w:val="0"/>
    <w:rPr>
      <w:rFonts w:hint="default" w:ascii="Times New Roman" w:hAnsi="Times New Roman" w:cs="Times New Roman"/>
    </w:rPr>
  </w:style>
  <w:style w:type="character" w:customStyle="1" w:styleId="75">
    <w:name w:val="15"/>
    <w:basedOn w:val="23"/>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A8C6B9-A22D-4167-AE83-175F119A9A11}">
  <ds:schemaRefs/>
</ds:datastoreItem>
</file>

<file path=docProps/app.xml><?xml version="1.0" encoding="utf-8"?>
<Properties xmlns="http://schemas.openxmlformats.org/officeDocument/2006/extended-properties" xmlns:vt="http://schemas.openxmlformats.org/officeDocument/2006/docPropsVTypes">
  <Template>Normal</Template>
  <Pages>286</Pages>
  <Words>243748</Words>
  <Characters>248836</Characters>
  <Lines>780</Lines>
  <Paragraphs>219</Paragraphs>
  <TotalTime>4</TotalTime>
  <ScaleCrop>false</ScaleCrop>
  <LinksUpToDate>false</LinksUpToDate>
  <CharactersWithSpaces>322169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2018-06-22T05:58:00Z</dcterms:created>
  <dc:creator>Lenovo User</dc:creator>
  <cp:lastModifiedBy>芝兰之室</cp:lastModifiedBy>
  <cp:lastPrinted>2017-07-28T08:14:00Z</cp:lastPrinted>
  <dcterms:modified xsi:type="dcterms:W3CDTF">2020-01-09T07:50:09Z</dcterms:modified>
  <dc:title>中华人民共和国国务院令</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